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EAE" w14:textId="248467D4" w:rsidR="0051779A" w:rsidRPr="004E7C3D" w:rsidRDefault="0051779A" w:rsidP="001D6861">
      <w:pPr>
        <w:tabs>
          <w:tab w:val="left" w:pos="284"/>
        </w:tabs>
        <w:autoSpaceDN w:val="0"/>
        <w:spacing w:after="0" w:line="240" w:lineRule="auto"/>
        <w:rPr>
          <w:rFonts w:eastAsia="Times New Roman" w:cstheme="minorHAnsi"/>
          <w:lang w:eastAsia="pl-PL"/>
        </w:rPr>
      </w:pPr>
      <w:bookmarkStart w:id="0" w:name="_Hlk105412891"/>
      <w:r w:rsidRPr="004E7C3D">
        <w:rPr>
          <w:rFonts w:eastAsia="Times New Roman" w:cstheme="minorHAnsi"/>
          <w:lang w:eastAsia="pl-PL"/>
        </w:rPr>
        <w:t>KP-II.1431.1</w:t>
      </w:r>
      <w:r w:rsidR="00730455">
        <w:rPr>
          <w:rFonts w:eastAsia="Times New Roman" w:cstheme="minorHAnsi"/>
          <w:lang w:eastAsia="pl-PL"/>
        </w:rPr>
        <w:t>5</w:t>
      </w:r>
      <w:r w:rsidRPr="004E7C3D">
        <w:rPr>
          <w:rFonts w:eastAsia="Times New Roman" w:cstheme="minorHAnsi"/>
          <w:lang w:eastAsia="pl-PL"/>
        </w:rPr>
        <w:t>.2022</w:t>
      </w:r>
      <w:r w:rsidRPr="004E7C3D">
        <w:rPr>
          <w:rFonts w:eastAsia="Times New Roman" w:cstheme="minorHAnsi"/>
          <w:b/>
          <w:bCs/>
          <w:lang w:eastAsia="pl-PL"/>
        </w:rPr>
        <w:tab/>
      </w:r>
      <w:r w:rsidRPr="004E7C3D">
        <w:rPr>
          <w:rFonts w:eastAsia="Times New Roman" w:cstheme="minorHAnsi"/>
          <w:b/>
          <w:bCs/>
          <w:lang w:eastAsia="pl-PL"/>
        </w:rPr>
        <w:tab/>
      </w:r>
      <w:r w:rsidRPr="004E7C3D">
        <w:rPr>
          <w:rFonts w:eastAsia="Times New Roman" w:cstheme="minorHAnsi"/>
          <w:b/>
          <w:bCs/>
          <w:lang w:eastAsia="pl-PL"/>
        </w:rPr>
        <w:tab/>
      </w:r>
      <w:r w:rsidRPr="004E7C3D">
        <w:rPr>
          <w:rFonts w:eastAsia="Times New Roman" w:cstheme="minorHAnsi"/>
          <w:b/>
          <w:bCs/>
          <w:lang w:eastAsia="pl-PL"/>
        </w:rPr>
        <w:tab/>
      </w:r>
      <w:r w:rsidRPr="004E7C3D">
        <w:rPr>
          <w:rFonts w:eastAsia="Times New Roman" w:cstheme="minorHAnsi"/>
          <w:b/>
          <w:bCs/>
          <w:lang w:eastAsia="pl-PL"/>
        </w:rPr>
        <w:tab/>
      </w:r>
      <w:r w:rsidRPr="004E7C3D">
        <w:rPr>
          <w:rFonts w:eastAsia="Times New Roman" w:cstheme="minorHAnsi"/>
          <w:b/>
          <w:bCs/>
          <w:lang w:eastAsia="pl-PL"/>
        </w:rPr>
        <w:tab/>
      </w:r>
      <w:r w:rsidR="008C6197">
        <w:rPr>
          <w:rFonts w:eastAsia="Times New Roman" w:cstheme="minorHAnsi"/>
          <w:b/>
          <w:bCs/>
          <w:lang w:eastAsia="pl-PL"/>
        </w:rPr>
        <w:t xml:space="preserve">       </w:t>
      </w:r>
      <w:r w:rsidRPr="004E7C3D">
        <w:rPr>
          <w:rFonts w:eastAsia="Times New Roman" w:cstheme="minorHAnsi"/>
          <w:lang w:eastAsia="pl-PL"/>
        </w:rPr>
        <w:t xml:space="preserve">Kielce, dn. </w:t>
      </w:r>
      <w:r w:rsidR="00FD2388" w:rsidRPr="004E7C3D">
        <w:rPr>
          <w:rFonts w:eastAsia="Times New Roman" w:cstheme="minorHAnsi"/>
          <w:lang w:eastAsia="pl-PL"/>
        </w:rPr>
        <w:t>1</w:t>
      </w:r>
      <w:r w:rsidR="00D60C6D">
        <w:rPr>
          <w:rFonts w:eastAsia="Times New Roman" w:cstheme="minorHAnsi"/>
          <w:lang w:eastAsia="pl-PL"/>
        </w:rPr>
        <w:t>9</w:t>
      </w:r>
      <w:r w:rsidR="00FD2388" w:rsidRPr="004E7C3D">
        <w:rPr>
          <w:rFonts w:eastAsia="Times New Roman" w:cstheme="minorHAnsi"/>
          <w:lang w:eastAsia="pl-PL"/>
        </w:rPr>
        <w:t xml:space="preserve"> września</w:t>
      </w:r>
      <w:r w:rsidRPr="004E7C3D">
        <w:rPr>
          <w:rFonts w:eastAsia="Times New Roman" w:cstheme="minorHAnsi"/>
          <w:lang w:eastAsia="pl-PL"/>
        </w:rPr>
        <w:t xml:space="preserve"> 2022 r.</w:t>
      </w:r>
      <w:r w:rsidRPr="004E7C3D">
        <w:rPr>
          <w:rFonts w:eastAsia="Times New Roman" w:cstheme="minorHAnsi"/>
          <w:b/>
          <w:bCs/>
          <w:lang w:eastAsia="pl-PL"/>
        </w:rPr>
        <w:t xml:space="preserve"> </w:t>
      </w:r>
    </w:p>
    <w:bookmarkEnd w:id="0"/>
    <w:p w14:paraId="7C49DA9D" w14:textId="77777777" w:rsidR="0051779A" w:rsidRPr="004E7C3D" w:rsidRDefault="0051779A" w:rsidP="001D6861">
      <w:pPr>
        <w:tabs>
          <w:tab w:val="left" w:pos="284"/>
        </w:tabs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2FB7E6" w14:textId="77777777" w:rsidR="00FB10EA" w:rsidRPr="004E7C3D" w:rsidRDefault="00FB10EA" w:rsidP="001D6861">
      <w:p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b/>
        </w:rPr>
      </w:pPr>
    </w:p>
    <w:p w14:paraId="3854BE55" w14:textId="3582D9AD" w:rsidR="0051779A" w:rsidRPr="004E7C3D" w:rsidRDefault="00FB10EA" w:rsidP="004E7C3D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E7C3D">
        <w:rPr>
          <w:rFonts w:asciiTheme="minorHAnsi" w:hAnsiTheme="minorHAnsi" w:cstheme="minorHAnsi"/>
          <w:b/>
          <w:sz w:val="22"/>
          <w:szCs w:val="22"/>
        </w:rPr>
        <w:t xml:space="preserve">Wyniki kontroli  problemowej przeprowadzonej w </w:t>
      </w:r>
      <w:r w:rsidR="004E7C3D" w:rsidRPr="004E7C3D">
        <w:rPr>
          <w:rFonts w:asciiTheme="minorHAnsi" w:hAnsiTheme="minorHAnsi" w:cstheme="minorHAnsi"/>
          <w:b/>
          <w:sz w:val="22"/>
          <w:szCs w:val="22"/>
        </w:rPr>
        <w:t>Specjalnym Ośrodku Szkolno-Wychowawczym Nr 2 w Kielcach</w:t>
      </w:r>
      <w:r w:rsidRPr="004E7C3D">
        <w:rPr>
          <w:rFonts w:asciiTheme="minorHAnsi" w:hAnsiTheme="minorHAnsi" w:cstheme="minorHAnsi"/>
          <w:b/>
          <w:sz w:val="22"/>
          <w:szCs w:val="22"/>
        </w:rPr>
        <w:t>.</w:t>
      </w:r>
    </w:p>
    <w:p w14:paraId="6C1CA08A" w14:textId="77777777" w:rsidR="00FB10EA" w:rsidRPr="004E7C3D" w:rsidRDefault="00FB10EA" w:rsidP="001D6861">
      <w:pPr>
        <w:tabs>
          <w:tab w:val="left" w:pos="284"/>
        </w:tabs>
        <w:autoSpaceDN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616A21D" w14:textId="3B040E5E" w:rsidR="0051779A" w:rsidRPr="004E7C3D" w:rsidRDefault="004E7C3D" w:rsidP="004E7C3D">
      <w:pPr>
        <w:tabs>
          <w:tab w:val="left" w:pos="284"/>
        </w:tabs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spacing w:val="-2"/>
          <w:lang w:eastAsia="pl-PL"/>
        </w:rPr>
        <w:t xml:space="preserve">Na podstawie upoważnienia Nr 16/2022 z dnia 15 lipca  2022 r. wydanego przez Prezydenta Miasta Kielce pracownicy Biura Audytu Wewnętrznego i Kontroli w Kancelarii Prezydenta Urzędu Miasta Kielce </w:t>
      </w:r>
      <w:r w:rsidRPr="004E7C3D">
        <w:rPr>
          <w:rFonts w:eastAsia="Times New Roman" w:cstheme="minorHAnsi"/>
          <w:spacing w:val="-2"/>
          <w:lang w:eastAsia="pl-PL"/>
        </w:rPr>
        <w:br/>
        <w:t>przeprowadzili</w:t>
      </w:r>
      <w:r w:rsidRPr="004E7C3D">
        <w:rPr>
          <w:rFonts w:eastAsia="Times New Roman" w:cstheme="minorHAnsi"/>
          <w:lang w:eastAsia="pl-PL"/>
        </w:rPr>
        <w:t xml:space="preserve"> w dniach od 18 lipca 2022 r. do 31 sierpnia 2022 r. (z wyłączeniem dni od 08.08.2022 r. do 19.08.2022 r.) </w:t>
      </w:r>
      <w:r w:rsidRPr="004E7C3D">
        <w:rPr>
          <w:rFonts w:eastAsia="Times New Roman" w:cstheme="minorHAnsi"/>
          <w:spacing w:val="-2"/>
          <w:lang w:eastAsia="pl-PL"/>
        </w:rPr>
        <w:t xml:space="preserve">kontrolę problemową w zakresie spraw organizacyjno – prawnych, </w:t>
      </w:r>
      <w:r w:rsidRPr="004E7C3D">
        <w:rPr>
          <w:rFonts w:eastAsia="Times New Roman" w:cstheme="minorHAnsi"/>
          <w:spacing w:val="-2"/>
          <w:lang w:eastAsia="pl-PL"/>
        </w:rPr>
        <w:br/>
        <w:t xml:space="preserve">gospodarki pieniężnej, rozrachunków, gospodarki środkami trwałymi i wyposażeniem, dochodów </w:t>
      </w:r>
      <w:r w:rsidRPr="004E7C3D">
        <w:rPr>
          <w:rFonts w:eastAsia="Times New Roman" w:cstheme="minorHAnsi"/>
          <w:spacing w:val="-2"/>
          <w:lang w:eastAsia="pl-PL"/>
        </w:rPr>
        <w:br/>
        <w:t xml:space="preserve">i wydatków budżetowych oraz przestrzegania przepisów ustawy – prawo zamówień publicznych za okres od dnia 01 stycznia 2021 r. do dnia 31 grudnia 2021 r. </w:t>
      </w:r>
    </w:p>
    <w:p w14:paraId="4D560734" w14:textId="77777777" w:rsidR="0051779A" w:rsidRPr="004E7C3D" w:rsidRDefault="0051779A" w:rsidP="001D686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82C99CA" w14:textId="404D9409" w:rsidR="0051779A" w:rsidRPr="004E7C3D" w:rsidRDefault="0051779A" w:rsidP="001D686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>W wyniku kontroli stwierdzono niżej opisane nieprawidłowości i uchybienia:</w:t>
      </w:r>
    </w:p>
    <w:p w14:paraId="7B3500C5" w14:textId="77777777" w:rsidR="00885CB9" w:rsidRPr="004E7C3D" w:rsidRDefault="00885CB9" w:rsidP="001D686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F729752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W trakcie kontroli ustalono, że jednostka prowadzi dwie księgi druków ścisłego zarachowania oraz </w:t>
      </w:r>
      <w:r w:rsidRPr="004E7C3D">
        <w:rPr>
          <w:rFonts w:eastAsia="Times New Roman" w:cstheme="minorHAnsi"/>
          <w:lang w:eastAsia="pl-PL"/>
        </w:rPr>
        <w:br/>
        <w:t xml:space="preserve">rejestr legitymacji i rejestr wydanych zaświadczeń. W jednej z ksiąg druków ścisłego zarachowania </w:t>
      </w:r>
      <w:r w:rsidRPr="004E7C3D">
        <w:rPr>
          <w:rFonts w:eastAsia="Times New Roman" w:cstheme="minorHAnsi"/>
          <w:lang w:eastAsia="pl-PL"/>
        </w:rPr>
        <w:br/>
        <w:t xml:space="preserve">prowadzona jest ewidencja świadectw i legitymacji szkolnych, które nie są ujęte w Instrukcji ewidencji </w:t>
      </w:r>
      <w:r w:rsidRPr="004E7C3D">
        <w:rPr>
          <w:rFonts w:eastAsia="Times New Roman" w:cstheme="minorHAnsi"/>
          <w:lang w:eastAsia="pl-PL"/>
        </w:rPr>
        <w:br/>
        <w:t xml:space="preserve">i kontroli druków ścisłego zarachowania w SOSW Nr 2 jako druki ścisłego zarachowania mimo wymogu wynikającego z przepisów prawa. Do księgi wpisywany jest przychód, rozchód oraz stan druków </w:t>
      </w:r>
      <w:r w:rsidRPr="004E7C3D">
        <w:rPr>
          <w:rFonts w:eastAsia="Times New Roman" w:cstheme="minorHAnsi"/>
          <w:lang w:eastAsia="pl-PL"/>
        </w:rPr>
        <w:br/>
        <w:t xml:space="preserve">świadectw oraz przychód legitymacji szkolnych. Ustalono, że stan druków świadectw jest zgodny ze stanem wykazanym w księdze natomiast stan legitymacji szkolnych nie wynika z księgi druków ścisłego </w:t>
      </w:r>
      <w:r w:rsidRPr="004E7C3D">
        <w:rPr>
          <w:rFonts w:eastAsia="Times New Roman" w:cstheme="minorHAnsi"/>
          <w:lang w:eastAsia="pl-PL"/>
        </w:rPr>
        <w:br/>
        <w:t xml:space="preserve">zarachowania, a jest możliwy do ustalenia w oparciu o prowadzony rejestr wydanych legitymacji </w:t>
      </w:r>
      <w:r w:rsidRPr="004E7C3D">
        <w:rPr>
          <w:rFonts w:eastAsia="Times New Roman" w:cstheme="minorHAnsi"/>
          <w:lang w:eastAsia="pl-PL"/>
        </w:rPr>
        <w:br/>
        <w:t xml:space="preserve">szkolnych, w którym nadawany jest numer w momencie ich wpisania i wydania. </w:t>
      </w:r>
    </w:p>
    <w:p w14:paraId="2A23FEEE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Ponadto stwierdzono, że w regulacjach wewnętrznych brak jest wskazania osoby odpowiedzialnej za gospodarkę drukami ścisłego zarachowania, a co się z tym wiąże udokumentowanego przyjęcia </w:t>
      </w:r>
      <w:r w:rsidRPr="004E7C3D">
        <w:rPr>
          <w:rFonts w:eastAsia="Times New Roman" w:cstheme="minorHAnsi"/>
          <w:lang w:eastAsia="pl-PL"/>
        </w:rPr>
        <w:br/>
        <w:t>odpowiedzialności za przedmiotowe działania.</w:t>
      </w:r>
    </w:p>
    <w:p w14:paraId="41F7B7A5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Dodatkowo ustalono, że w jednostce wydawane są karty drogowe dla dwóch samochodów </w:t>
      </w:r>
      <w:r w:rsidRPr="004E7C3D">
        <w:rPr>
          <w:rFonts w:eastAsia="Times New Roman" w:cstheme="minorHAnsi"/>
          <w:lang w:eastAsia="pl-PL"/>
        </w:rPr>
        <w:br/>
        <w:t xml:space="preserve">służbowych. Karty drogowe są kolejno numerowane, prowadzone odrębnie dla każdego z pojazdów natomiast nie są ujęte w regulacjach wewnętrznych SOSW jako druki ścisłego zarachowania. </w:t>
      </w:r>
      <w:r w:rsidRPr="004E7C3D">
        <w:rPr>
          <w:rFonts w:eastAsia="Times New Roman" w:cstheme="minorHAnsi"/>
          <w:lang w:eastAsia="pl-PL"/>
        </w:rPr>
        <w:br/>
        <w:t xml:space="preserve">Z dokonanej kontroli wynika, że mimo to dla kart drogowych prowadzona jest szczegółowa ewidencja. Z uwagi na fakt, że karty drogowe są dokumentami wymagającymi wzmożonej kontroli i w praktyce są one kolejno numerowane, ewidencjonowane i na tej podstawie rozliczane, wskazanym jest uwzględnić je w regulacjach wewnętrznych SOSW, jako druki ścisłego zarachowania. </w:t>
      </w:r>
    </w:p>
    <w:p w14:paraId="574CFDD8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1</w:t>
      </w:r>
    </w:p>
    <w:p w14:paraId="3FB33D8E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>Dostosować zapisy Instrukcji</w:t>
      </w:r>
      <w:r w:rsidRPr="004E7C3D">
        <w:rPr>
          <w:rFonts w:eastAsia="Times New Roman" w:cstheme="minorHAnsi"/>
          <w:lang w:eastAsia="pl-PL"/>
        </w:rPr>
        <w:t xml:space="preserve"> </w:t>
      </w:r>
      <w:r w:rsidRPr="004E7C3D">
        <w:rPr>
          <w:rFonts w:eastAsia="Times New Roman" w:cstheme="minorHAnsi"/>
          <w:i/>
          <w:iCs/>
          <w:lang w:eastAsia="pl-PL"/>
        </w:rPr>
        <w:t xml:space="preserve">ewidencji i kontroli druków ścisłego zarachowania w SOSW Nr 2 do stanu faktycznego i zgodnego z przepisami wynikającymi z Rozporządzenia Ministra Edukacji Narodowej </w:t>
      </w:r>
      <w:r w:rsidRPr="004E7C3D">
        <w:rPr>
          <w:rFonts w:eastAsia="Times New Roman" w:cstheme="minorHAnsi"/>
          <w:i/>
          <w:iCs/>
          <w:lang w:eastAsia="pl-PL"/>
        </w:rPr>
        <w:br/>
        <w:t>z dnia 26 kwietnia 2018 r. w sprawie świadectw, dyplomów państwowych i innych druków szkolnych (Dz.U. z 2018 r. poz. 939 ze zm.)</w:t>
      </w:r>
    </w:p>
    <w:p w14:paraId="5A4D549D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63B3F7AE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Podczas weryfikacji danych z bilansu stwierdzono, że suma sald </w:t>
      </w:r>
      <w:proofErr w:type="spellStart"/>
      <w:r w:rsidRPr="004E7C3D">
        <w:rPr>
          <w:rFonts w:eastAsia="Times New Roman" w:cstheme="minorHAnsi"/>
          <w:lang w:eastAsia="pl-PL"/>
        </w:rPr>
        <w:t>Wn</w:t>
      </w:r>
      <w:proofErr w:type="spellEnd"/>
      <w:r w:rsidRPr="004E7C3D">
        <w:rPr>
          <w:rFonts w:eastAsia="Times New Roman" w:cstheme="minorHAnsi"/>
          <w:lang w:eastAsia="pl-PL"/>
        </w:rPr>
        <w:t xml:space="preserve"> konta 135 - rachunek środków funduszy socjalnych (ZFŚS) i 234 – Pozostałe rozrachunki z pracownikami, dotycząca ZFŚS (wykazana kwota 51.440,30 zł) nie koresponduje z saldem Ma konta 851 – Zakładowy fundusz świadczeń </w:t>
      </w:r>
      <w:r w:rsidRPr="004E7C3D">
        <w:rPr>
          <w:rFonts w:eastAsia="Times New Roman" w:cstheme="minorHAnsi"/>
          <w:lang w:eastAsia="pl-PL"/>
        </w:rPr>
        <w:br/>
        <w:t xml:space="preserve">socjalnych (wykazana kwota 40.248,30 zł). Różnica w kwocie 11.192,00 zł dotyczy podatku od </w:t>
      </w:r>
      <w:r w:rsidRPr="004E7C3D">
        <w:rPr>
          <w:rFonts w:eastAsia="Times New Roman" w:cstheme="minorHAnsi"/>
          <w:lang w:eastAsia="pl-PL"/>
        </w:rPr>
        <w:br/>
        <w:t xml:space="preserve">świadczeń urlopowych nauczycieli za 2021 r. Z wyjaśnień głównej księgowej wynika, że podczas </w:t>
      </w:r>
      <w:r w:rsidRPr="004E7C3D">
        <w:rPr>
          <w:rFonts w:eastAsia="Times New Roman" w:cstheme="minorHAnsi"/>
          <w:lang w:eastAsia="pl-PL"/>
        </w:rPr>
        <w:br/>
      </w:r>
      <w:r w:rsidRPr="004E7C3D">
        <w:rPr>
          <w:rFonts w:eastAsia="Times New Roman" w:cstheme="minorHAnsi"/>
          <w:lang w:eastAsia="pl-PL"/>
        </w:rPr>
        <w:lastRenderedPageBreak/>
        <w:t xml:space="preserve">kontroli bilansu stwierdzono błąd w aktywach poz.B.II.4 – pozostałe należności oraz w pasywach </w:t>
      </w:r>
      <w:r w:rsidRPr="004E7C3D">
        <w:rPr>
          <w:rFonts w:eastAsia="Times New Roman" w:cstheme="minorHAnsi"/>
          <w:lang w:eastAsia="pl-PL"/>
        </w:rPr>
        <w:br/>
        <w:t xml:space="preserve">w poz.D.II.5 – pozostałe zobowiązania na kwotę 11.192,00 zł. Podczas księgowania tej kwoty nie </w:t>
      </w:r>
      <w:r w:rsidRPr="004E7C3D">
        <w:rPr>
          <w:rFonts w:eastAsia="Times New Roman" w:cstheme="minorHAnsi"/>
          <w:lang w:eastAsia="pl-PL"/>
        </w:rPr>
        <w:br/>
        <w:t xml:space="preserve">zaznaczono kontrahenta, tym samym konto 234 nie wykazało salda w zestawieniu obrotów i sald za 2021 r. Ponieważ zobowiązanie nie było rozliczone, program przeniósł tę kwotę do pozostałych </w:t>
      </w:r>
      <w:r w:rsidRPr="004E7C3D">
        <w:rPr>
          <w:rFonts w:eastAsia="Times New Roman" w:cstheme="minorHAnsi"/>
          <w:lang w:eastAsia="pl-PL"/>
        </w:rPr>
        <w:br/>
        <w:t xml:space="preserve">należności i pozostałych zobowiązań. Bilans jednostki został sporządzony, a błąd zauważony dopiero </w:t>
      </w:r>
      <w:r w:rsidRPr="004E7C3D">
        <w:rPr>
          <w:rFonts w:eastAsia="Times New Roman" w:cstheme="minorHAnsi"/>
          <w:lang w:eastAsia="pl-PL"/>
        </w:rPr>
        <w:br/>
        <w:t>w m-</w:t>
      </w:r>
      <w:proofErr w:type="spellStart"/>
      <w:r w:rsidRPr="004E7C3D">
        <w:rPr>
          <w:rFonts w:eastAsia="Times New Roman" w:cstheme="minorHAnsi"/>
          <w:lang w:eastAsia="pl-PL"/>
        </w:rPr>
        <w:t>cu</w:t>
      </w:r>
      <w:proofErr w:type="spellEnd"/>
      <w:r w:rsidRPr="004E7C3D">
        <w:rPr>
          <w:rFonts w:eastAsia="Times New Roman" w:cstheme="minorHAnsi"/>
          <w:lang w:eastAsia="pl-PL"/>
        </w:rPr>
        <w:t xml:space="preserve"> lipcu. </w:t>
      </w:r>
    </w:p>
    <w:p w14:paraId="0A31B697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2</w:t>
      </w:r>
    </w:p>
    <w:p w14:paraId="3036734E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>Przed sporządzeniem bilansu wykonać czynności sprawdzające poprawność formalną i merytoryczną danych ujętych w księgach rachunkowych.</w:t>
      </w:r>
      <w:r w:rsidRPr="004E7C3D">
        <w:rPr>
          <w:rFonts w:eastAsia="Times New Roman" w:cstheme="minorHAnsi"/>
          <w:lang w:eastAsia="pl-PL"/>
        </w:rPr>
        <w:t xml:space="preserve"> </w:t>
      </w:r>
      <w:r w:rsidRPr="004E7C3D">
        <w:rPr>
          <w:rFonts w:eastAsia="Times New Roman" w:cstheme="minorHAnsi"/>
          <w:i/>
          <w:iCs/>
          <w:lang w:eastAsia="pl-PL"/>
        </w:rPr>
        <w:t xml:space="preserve">Przestrzegać zapisów art. 4 ust. 1, art. 24  i art. 25 ust. 1 pkt 2. oraz art. 54 ustawy z dnia 29 września 1994 r. o rachunkowości </w:t>
      </w:r>
      <w:hyperlink r:id="rId6" w:history="1">
        <w:r w:rsidRPr="004E7C3D">
          <w:rPr>
            <w:rFonts w:eastAsia="Times New Roman" w:cstheme="minorHAnsi"/>
            <w:i/>
            <w:iCs/>
            <w:lang w:eastAsia="pl-PL"/>
          </w:rPr>
          <w:t>(Dz.U. z 2021 r. poz. 217)</w:t>
        </w:r>
      </w:hyperlink>
      <w:r w:rsidRPr="004E7C3D">
        <w:rPr>
          <w:rFonts w:eastAsia="Times New Roman" w:cstheme="minorHAnsi"/>
          <w:i/>
          <w:iCs/>
          <w:lang w:eastAsia="pl-PL"/>
        </w:rPr>
        <w:t>.</w:t>
      </w:r>
    </w:p>
    <w:p w14:paraId="33F256DF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2FB7330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W wyniku przeprowadzonej wizji na terenie SOSW Nr 2 ul. Kryształowa 6 (pokój nr 53 – księgowość </w:t>
      </w:r>
      <w:r w:rsidRPr="004E7C3D">
        <w:rPr>
          <w:rFonts w:eastAsia="Times New Roman" w:cstheme="minorHAnsi"/>
          <w:lang w:eastAsia="pl-PL"/>
        </w:rPr>
        <w:br/>
        <w:t xml:space="preserve">i sala nr 54) stwierdzono, że w pomieszczeniach umieszczone są spisy inwentarza natomiast znajdujące się w pomieszczeniach wyposażenie posiada nieaktualne oznaczenie. W okazanych wydrukach </w:t>
      </w:r>
      <w:r w:rsidRPr="004E7C3D">
        <w:rPr>
          <w:rFonts w:eastAsia="Times New Roman" w:cstheme="minorHAnsi"/>
          <w:lang w:eastAsia="pl-PL"/>
        </w:rPr>
        <w:br/>
        <w:t xml:space="preserve">sporządzonych z programu VULCAN INWENTARZ w kolumnie – „Nr w systemie zewnętrznym”, znajdują się zaewidencjonowane stare oznaczenia wyposażenia, które posłużą do identyfikacji poszczególnych elementów w trakcie przenoszenia i nadawania nowych oznaczeń, co planowane jest w trakcie </w:t>
      </w:r>
      <w:r w:rsidRPr="004E7C3D">
        <w:rPr>
          <w:rFonts w:eastAsia="Times New Roman" w:cstheme="minorHAnsi"/>
          <w:lang w:eastAsia="pl-PL"/>
        </w:rPr>
        <w:br/>
        <w:t xml:space="preserve">inwentaryzacji, która ma zostać przeprowadzona w SOSW w IV kwartale 2022 r. </w:t>
      </w:r>
    </w:p>
    <w:p w14:paraId="337EF1E6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W wyniku przeprowadzonej wizji na terenie Internatu ul. Malachitowa (kuchnia, świetlica, sypialnia nr 1, sypialnia nr 2) stwierdzono, że wyposażenie znajdujące się we wskazanych pomieszczeniach posiada nieaktualne oznaczenie oraz nie w każdym przypadku umieszczone jest w miejscu, na które wskazuje spis. Ponadto w internacie znajduje się wyposażenie (2 ławki), które nie są wykazane w ewidencji. </w:t>
      </w:r>
      <w:r w:rsidRPr="004E7C3D">
        <w:rPr>
          <w:rFonts w:eastAsia="Times New Roman" w:cstheme="minorHAnsi"/>
          <w:lang w:eastAsia="pl-PL"/>
        </w:rPr>
        <w:br/>
        <w:t>W pomieszczeniach brak jest „spisu inwentarza”.</w:t>
      </w:r>
    </w:p>
    <w:p w14:paraId="2812C8F7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3</w:t>
      </w:r>
    </w:p>
    <w:p w14:paraId="73B47F59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>Środki trwałe i pozostałe środki trwałe oznaczać zgodnie z przyjętym sposobem ocechowania. Dokonać aktualizacji oznaczenia środków trwałych. Sporządzić spisy inwentarza. Zadbać o właściwe umieszczanie wyposażenia, zgodne ze wskazanym w ewidencji miejscem.</w:t>
      </w:r>
    </w:p>
    <w:p w14:paraId="6E866E71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3647E1A8" w14:textId="77777777" w:rsidR="004E7C3D" w:rsidRPr="004E7C3D" w:rsidRDefault="004E7C3D" w:rsidP="004E7C3D">
      <w:pPr>
        <w:shd w:val="clear" w:color="auto" w:fill="FFFFFF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Podczas kontroli sprawozdań Rb-28 S stwierdzono, że w miesiącu grudniu 2021 r. w kolumnie </w:t>
      </w:r>
      <w:r w:rsidRPr="004E7C3D">
        <w:rPr>
          <w:rFonts w:eastAsia="Times New Roman" w:cstheme="minorHAnsi"/>
          <w:lang w:eastAsia="pl-PL"/>
        </w:rPr>
        <w:br/>
        <w:t>„Zobowiązania wg stanu na koniec okresu ogółem” wykazano w Rozdziale 80102 § 4010 o 1,00 zł więcej niż wynika z zestawienia obrotów  i sald za okres od 01.01.2021 r. do 31.12.2021 r.</w:t>
      </w:r>
      <w:r w:rsidRPr="004E7C3D">
        <w:rPr>
          <w:rFonts w:eastAsia="Times New Roman" w:cstheme="minorHAnsi"/>
          <w:color w:val="FF0000"/>
          <w:lang w:eastAsia="pl-PL"/>
        </w:rPr>
        <w:t xml:space="preserve"> </w:t>
      </w:r>
      <w:r w:rsidRPr="004E7C3D">
        <w:rPr>
          <w:rFonts w:eastAsia="Times New Roman" w:cstheme="minorHAnsi"/>
          <w:lang w:eastAsia="pl-PL"/>
        </w:rPr>
        <w:t xml:space="preserve">(wydruk z dnia 20.07.2022 r.). Z informacji ustnej uzyskanej od głównej księgowej wynika, że w dokumentacji brak wydruku zestawienia obrotów i sald za ww. okres na moment sporządzenia sprawozdania. </w:t>
      </w:r>
    </w:p>
    <w:p w14:paraId="7EA8C690" w14:textId="77777777" w:rsidR="004E7C3D" w:rsidRPr="004E7C3D" w:rsidRDefault="004E7C3D" w:rsidP="004E7C3D">
      <w:pPr>
        <w:shd w:val="clear" w:color="auto" w:fill="FFFFFF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Przeksięgowanie i przekazanie kwoty 1,00 zł z dziennika funduszu na dziennik budżet nastąpiło w dniu 31.12.2021 r. PK 1265, WB Nr 218 z dnia 31.12.2021 r. tj. przed złożeniem sprawozdania i w tym samym dniu odprowadzone na konto dochodów Urzędu Miasta Kielce. Z wyjaśnień uzyskanych w trakcie </w:t>
      </w:r>
      <w:r w:rsidRPr="004E7C3D">
        <w:rPr>
          <w:rFonts w:eastAsia="Times New Roman" w:cstheme="minorHAnsi"/>
          <w:lang w:eastAsia="pl-PL"/>
        </w:rPr>
        <w:br/>
        <w:t xml:space="preserve">kontroli wynika, że zaistniała sytuacja była następstwem nie zaczytania przez program </w:t>
      </w:r>
      <w:proofErr w:type="spellStart"/>
      <w:r w:rsidRPr="004E7C3D">
        <w:rPr>
          <w:rFonts w:eastAsia="Times New Roman" w:cstheme="minorHAnsi"/>
          <w:lang w:eastAsia="pl-PL"/>
        </w:rPr>
        <w:t>Vulcan</w:t>
      </w:r>
      <w:proofErr w:type="spellEnd"/>
      <w:r w:rsidRPr="004E7C3D">
        <w:rPr>
          <w:rFonts w:eastAsia="Times New Roman" w:cstheme="minorHAnsi"/>
          <w:lang w:eastAsia="pl-PL"/>
        </w:rPr>
        <w:t xml:space="preserve"> </w:t>
      </w:r>
      <w:r w:rsidRPr="004E7C3D">
        <w:rPr>
          <w:rFonts w:eastAsia="Times New Roman" w:cstheme="minorHAnsi"/>
          <w:lang w:eastAsia="pl-PL"/>
        </w:rPr>
        <w:br/>
        <w:t xml:space="preserve">poprawnego salda konta 225 Rozdział 80102 § 4010 do sprawozdania Rb-28 S za miesiąc grudzień </w:t>
      </w:r>
      <w:r w:rsidRPr="004E7C3D">
        <w:rPr>
          <w:rFonts w:eastAsia="Times New Roman" w:cstheme="minorHAnsi"/>
          <w:lang w:eastAsia="pl-PL"/>
        </w:rPr>
        <w:br/>
        <w:t xml:space="preserve">2021 r., a nieprawidłowość została przeoczona. </w:t>
      </w:r>
    </w:p>
    <w:p w14:paraId="2BD68F08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4</w:t>
      </w:r>
    </w:p>
    <w:p w14:paraId="6139DE2D" w14:textId="77777777" w:rsidR="004E7C3D" w:rsidRPr="004E7C3D" w:rsidRDefault="004E7C3D" w:rsidP="004E7C3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Sprawozdanie Rb-28 S sporządzać bezbłędnie, zgodnie z Rozporządzeniem Ministra Finansów z dnia 11.01.2022 r w sprawie sprawozdawczości budżetowej (Dz.U. z 2022 r. poz. 144). </w:t>
      </w:r>
    </w:p>
    <w:p w14:paraId="040D4E00" w14:textId="77777777" w:rsidR="004E7C3D" w:rsidRPr="004E7C3D" w:rsidRDefault="004E7C3D" w:rsidP="004E7C3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5</w:t>
      </w:r>
    </w:p>
    <w:p w14:paraId="04FD177F" w14:textId="6BCF9F16" w:rsidR="004E7C3D" w:rsidRPr="004E7C3D" w:rsidRDefault="004E7C3D" w:rsidP="008C619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Stosować się do zapisów </w:t>
      </w:r>
      <w:hyperlink r:id="rId7" w:tooltip="art. 24 - Ustawa z dnia 29.09.1994 r. o rachunkowości - przepisy.gofin.pl" w:history="1">
        <w:r w:rsidRPr="004E7C3D">
          <w:rPr>
            <w:rFonts w:eastAsia="Times New Roman" w:cstheme="minorHAnsi"/>
            <w:i/>
            <w:iCs/>
            <w:lang w:eastAsia="pl-PL"/>
          </w:rPr>
          <w:t>art. 24 ust. 5 pkt 2</w:t>
        </w:r>
      </w:hyperlink>
      <w:r w:rsidRPr="004E7C3D">
        <w:rPr>
          <w:rFonts w:eastAsia="Times New Roman" w:cstheme="minorHAnsi"/>
          <w:i/>
          <w:iCs/>
          <w:lang w:eastAsia="pl-PL"/>
        </w:rPr>
        <w:t xml:space="preserve"> ustawy z dnia  29 września 1994 r. o rachunkowości (</w:t>
      </w:r>
      <w:proofErr w:type="spellStart"/>
      <w:r w:rsidRPr="004E7C3D">
        <w:rPr>
          <w:rFonts w:eastAsia="Times New Roman" w:cstheme="minorHAnsi"/>
          <w:i/>
          <w:iCs/>
          <w:lang w:eastAsia="pl-PL"/>
        </w:rPr>
        <w:t>t.j</w:t>
      </w:r>
      <w:proofErr w:type="spellEnd"/>
      <w:r w:rsidRPr="004E7C3D">
        <w:rPr>
          <w:rFonts w:eastAsia="Times New Roman" w:cstheme="minorHAnsi"/>
          <w:i/>
          <w:iCs/>
          <w:lang w:eastAsia="pl-PL"/>
        </w:rPr>
        <w:t>. Dz. U. z 2021 r., poz. 217,2105). Na moment sporządzania sprawozdania drukować zestawienie obrotów i sald.</w:t>
      </w:r>
    </w:p>
    <w:p w14:paraId="7C7B0D51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lastRenderedPageBreak/>
        <w:t xml:space="preserve">Sprawdzono naliczenie i wypłatę wynagrodzenia za czas urlopu z godzin nocnych losowo wybranych pracowników obsługi. W jednym przypadku podstawa wynagrodzenia urlopowego z miesięcy marzec, kwiecień, maj 2021 r. została błędnie ustalona. </w:t>
      </w:r>
    </w:p>
    <w:p w14:paraId="17BAE6BF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 xml:space="preserve">Wniosek pokontrolny nr 6 </w:t>
      </w:r>
    </w:p>
    <w:p w14:paraId="7832ECD9" w14:textId="77777777" w:rsidR="004E7C3D" w:rsidRPr="004E7C3D" w:rsidRDefault="004E7C3D" w:rsidP="004E7C3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>Przy obliczaniu wynagrodzenia za czas urlopu z godzin nocnych stosować się do zapisów Rozporządzenia Ministra Pracy i Polityki Socjalnej z dnia 8 stycznia 1997 r. w sprawie szczegółowych zasad udzielania urlopu wypoczynkowego, ustalania i wypłacania wynagrodzenia za czas urlopu oraz ekwiwalentu pieniężnego za urlop.</w:t>
      </w:r>
    </w:p>
    <w:p w14:paraId="54B53B44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47AF720D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Sprawdzono naliczenie i wypłatę wynagrodzenia za czas urlopu z godzin ponadwymiarowych sześciu losowo wybranych pracowników pedagogicznych. Stwierdzono, że w miesiącu lipcu i sierpniu </w:t>
      </w:r>
      <w:r w:rsidRPr="004E7C3D">
        <w:rPr>
          <w:rFonts w:eastAsia="Times New Roman" w:cstheme="minorHAnsi"/>
          <w:lang w:eastAsia="pl-PL"/>
        </w:rPr>
        <w:br/>
        <w:t xml:space="preserve">wynagrodzenie za czas urlopu zostało błędnie ustalone. Podstawę wynagrodzenia ustalono z miesięcy wrzesień – maj zamiast wrzesień – czerwiec. Dodatkowo w żadnym przypadku w podstawie </w:t>
      </w:r>
      <w:r w:rsidRPr="004E7C3D">
        <w:rPr>
          <w:rFonts w:eastAsia="Times New Roman" w:cstheme="minorHAnsi"/>
          <w:lang w:eastAsia="pl-PL"/>
        </w:rPr>
        <w:br/>
        <w:t>wynagrodzenia urlopowego nie uwzględniono 1/12 jednorazowego dodatku uzupełniającego.</w:t>
      </w:r>
    </w:p>
    <w:p w14:paraId="30B7281A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7</w:t>
      </w:r>
    </w:p>
    <w:p w14:paraId="7D8A3CF1" w14:textId="77777777" w:rsidR="004E7C3D" w:rsidRPr="004E7C3D" w:rsidRDefault="004E7C3D" w:rsidP="004E7C3D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Wynagrodzenie za urlop obliczać zgodnie z wymogami art. 67 ust. 2 ustawy z dnia 26 stycznia 1982 r. Karta Nauczyciela </w:t>
      </w:r>
      <w:hyperlink r:id="rId8" w:history="1">
        <w:r w:rsidRPr="004E7C3D">
          <w:rPr>
            <w:rFonts w:eastAsia="Times New Roman" w:cstheme="minorHAnsi"/>
            <w:i/>
            <w:iCs/>
            <w:lang w:eastAsia="pl-PL"/>
          </w:rPr>
          <w:t>(Dz.U. z 2021 r. poz. 1762)</w:t>
        </w:r>
      </w:hyperlink>
      <w:r w:rsidRPr="004E7C3D">
        <w:rPr>
          <w:rFonts w:eastAsia="Times New Roman" w:cstheme="minorHAnsi"/>
          <w:i/>
          <w:iCs/>
          <w:lang w:eastAsia="pl-PL"/>
        </w:rPr>
        <w:t xml:space="preserve"> oraz § 2 ust. 3 Rozporządzenia Ministra Edukacji </w:t>
      </w:r>
      <w:r w:rsidRPr="004E7C3D">
        <w:rPr>
          <w:rFonts w:eastAsia="Times New Roman" w:cstheme="minorHAnsi"/>
          <w:i/>
          <w:iCs/>
          <w:lang w:eastAsia="pl-PL"/>
        </w:rPr>
        <w:br/>
        <w:t>Narodowej z dnia 26 czerwca 2001 r. w sprawie szczegółowych zasad ustalania wynagrodzenia oraz ekwiwalentu pieniężnego za urlop wypoczynkowy nauczycieli (Dz.U. z 2020 r. poz. 1455).</w:t>
      </w:r>
    </w:p>
    <w:p w14:paraId="3B50DF0A" w14:textId="77777777" w:rsidR="004E7C3D" w:rsidRPr="004E7C3D" w:rsidRDefault="004E7C3D" w:rsidP="004E7C3D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895548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>Sprawdzono naliczenie oraz wypłatę nagrody jubileuszowej czterech pracowników pedagogicznych</w:t>
      </w:r>
      <w:bookmarkStart w:id="1" w:name="_Hlk100425752"/>
      <w:r w:rsidRPr="004E7C3D">
        <w:rPr>
          <w:rFonts w:eastAsia="Times New Roman" w:cstheme="minorHAnsi"/>
          <w:lang w:eastAsia="pl-PL"/>
        </w:rPr>
        <w:t>.</w:t>
      </w:r>
      <w:bookmarkEnd w:id="1"/>
      <w:r w:rsidRPr="004E7C3D">
        <w:rPr>
          <w:rFonts w:eastAsia="Times New Roman" w:cstheme="minorHAnsi"/>
          <w:lang w:eastAsia="pl-PL"/>
        </w:rPr>
        <w:t xml:space="preserve"> </w:t>
      </w:r>
      <w:r w:rsidRPr="004E7C3D">
        <w:rPr>
          <w:rFonts w:eastAsia="Times New Roman" w:cstheme="minorHAnsi"/>
          <w:lang w:eastAsia="pl-PL"/>
        </w:rPr>
        <w:br/>
        <w:t xml:space="preserve">W przypadku jednego nauczyciela do podstawy nagrody jubileuszowej przyjęto dodatek za uciążliwe warunki w pracy, pomimo iż w miesiącu nabycia nagrody, jak i w dniu jej wypłaty dodatek nie </w:t>
      </w:r>
      <w:r w:rsidRPr="004E7C3D">
        <w:rPr>
          <w:rFonts w:eastAsia="Times New Roman" w:cstheme="minorHAnsi"/>
          <w:lang w:eastAsia="pl-PL"/>
        </w:rPr>
        <w:br/>
        <w:t xml:space="preserve">przysługiwał. Z kolei nie uwzględniono w podstawie nagrody jednorazowego dodatku uzupełniającego. </w:t>
      </w:r>
      <w:r w:rsidRPr="004E7C3D">
        <w:rPr>
          <w:rFonts w:eastAsia="Times New Roman" w:cstheme="minorHAnsi"/>
          <w:lang w:eastAsia="pl-PL"/>
        </w:rPr>
        <w:br/>
        <w:t xml:space="preserve">W przypadku drugiego nauczyciela do podstawy nagrody jubileuszowej przyjęto 19 % zamiast 20 % dodatku stażowego. </w:t>
      </w:r>
    </w:p>
    <w:p w14:paraId="37996C0C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8</w:t>
      </w:r>
    </w:p>
    <w:p w14:paraId="18377E80" w14:textId="0D6160EA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Przy ustalaniu wysokości nagrody jubileuszowej stosować zapisy Rozporządzenia w sprawie szczegółowych zasad ustalania wynagrodzenia oraz ekwiwalentu pieniężnego za urlop wypoczynkowy nauczycieli (Dz. U. z 2001 r. Nr 71 poz. 737 z </w:t>
      </w:r>
      <w:proofErr w:type="spellStart"/>
      <w:r w:rsidRPr="004E7C3D">
        <w:rPr>
          <w:rFonts w:eastAsia="Times New Roman" w:cstheme="minorHAnsi"/>
          <w:i/>
          <w:iCs/>
          <w:lang w:eastAsia="pl-PL"/>
        </w:rPr>
        <w:t>późn</w:t>
      </w:r>
      <w:proofErr w:type="spellEnd"/>
      <w:r w:rsidRPr="004E7C3D">
        <w:rPr>
          <w:rFonts w:eastAsia="Times New Roman" w:cstheme="minorHAnsi"/>
          <w:i/>
          <w:iCs/>
          <w:lang w:eastAsia="pl-PL"/>
        </w:rPr>
        <w:t xml:space="preserve">. zm.). </w:t>
      </w:r>
    </w:p>
    <w:p w14:paraId="23FCB910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1545602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>Stwierdzono, że wynagrodzenie za inne usprawiedliwione nieobecności w pracy z tytułu urlopu okolicznościowego oraz opieki na dziecko w wieku do lat 14 zostały błędnie ustalone.</w:t>
      </w:r>
    </w:p>
    <w:p w14:paraId="0B74513D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9</w:t>
      </w:r>
    </w:p>
    <w:p w14:paraId="085D41B8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>Przy ustalaniu wynagrodzenia za inne usprawiedliwione nieobecności w pracy z tytułu urlopu okolicznościowego oraz opieki na dziecko w wieku do lat 14 stosować się do § 5 Rozporządzenia Ministra Pracy i Polityki Socjalnej z dnia 29 maja 1996 r. w sprawie sposobu ustalania wynagrodzenia w okresie niewykonywania pracy oraz wynagrodzenia stanowiącego podstawę obliczania odszkodowań, odpraw, dodatków wyrównawczych do wynagrodzenia oraz innych należności przewidzianych w Kodeksie pracy (Dz.U. z 1996, Nr 62, poz. 289)</w:t>
      </w:r>
      <w:r w:rsidRPr="004E7C3D">
        <w:rPr>
          <w:rFonts w:eastAsia="Times New Roman" w:cstheme="minorHAnsi"/>
          <w:i/>
          <w:iCs/>
          <w:color w:val="00B050"/>
          <w:lang w:eastAsia="pl-PL"/>
        </w:rPr>
        <w:t>.</w:t>
      </w:r>
    </w:p>
    <w:p w14:paraId="7CAED7ED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A9EA61E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Kontroli poddano wynagrodzenie za czas choroby trzech pracowników </w:t>
      </w:r>
      <w:proofErr w:type="spellStart"/>
      <w:r w:rsidRPr="004E7C3D">
        <w:rPr>
          <w:rFonts w:eastAsia="Times New Roman" w:cstheme="minorHAnsi"/>
          <w:lang w:eastAsia="pl-PL"/>
        </w:rPr>
        <w:t>administracyjno</w:t>
      </w:r>
      <w:proofErr w:type="spellEnd"/>
      <w:r w:rsidRPr="004E7C3D">
        <w:rPr>
          <w:rFonts w:eastAsia="Times New Roman" w:cstheme="minorHAnsi"/>
          <w:lang w:eastAsia="pl-PL"/>
        </w:rPr>
        <w:t xml:space="preserve"> – obsługowych i trzech nauczycieli oraz zasiłek opiekuńczy jednego nauczyciela. W przypadku nauczycieli podstawa została błędnie ustalona ponieważ nie uzupełniono wynagrodzenia rocznego i nie uwzględniono </w:t>
      </w:r>
      <w:r w:rsidRPr="004E7C3D">
        <w:rPr>
          <w:rFonts w:eastAsia="Times New Roman" w:cstheme="minorHAnsi"/>
          <w:lang w:eastAsia="pl-PL"/>
        </w:rPr>
        <w:br/>
        <w:t>jednorazowego dodatku uzupełniającego.</w:t>
      </w:r>
    </w:p>
    <w:p w14:paraId="69027641" w14:textId="77777777" w:rsidR="008C6197" w:rsidRDefault="008C6197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1357B307" w14:textId="17170408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lastRenderedPageBreak/>
        <w:t>Wniosek pokontrolny nr 10</w:t>
      </w:r>
    </w:p>
    <w:p w14:paraId="267BDD20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Przy ustalaniu podstawy wynagrodzenia chorobowego i zasiłku stosować  się do zapisów art. 37 ust. 2 pkt 1 i art. 42 ustawy z dnia 25 czerwca 1999 roku o świadczeniach pieniężnych z ubezpieczenia społecznego w razie choroby i macierzyństwa (Dz. U. z 2021 r. poz. 1133 z </w:t>
      </w:r>
      <w:proofErr w:type="spellStart"/>
      <w:r w:rsidRPr="004E7C3D">
        <w:rPr>
          <w:rFonts w:eastAsia="Times New Roman" w:cstheme="minorHAnsi"/>
          <w:i/>
          <w:iCs/>
          <w:lang w:eastAsia="pl-PL"/>
        </w:rPr>
        <w:t>późn</w:t>
      </w:r>
      <w:proofErr w:type="spellEnd"/>
      <w:r w:rsidRPr="004E7C3D">
        <w:rPr>
          <w:rFonts w:eastAsia="Times New Roman" w:cstheme="minorHAnsi"/>
          <w:i/>
          <w:iCs/>
          <w:lang w:eastAsia="pl-PL"/>
        </w:rPr>
        <w:t>. zm.)</w:t>
      </w:r>
    </w:p>
    <w:p w14:paraId="78DED655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7D1868C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Przeanalizowano wybrane karty ewidencyjne wyposażenia dla: trzech nauczycieli wychowania fizycznego, dwóch pracowników biurowych, dwóch kierowców-dozorców, konserwatora-kierowcy, kucharki, pomocy kuchennej. Jak ustalono, na dwóch (z wybranych) kart widnieją nieścisłości, </w:t>
      </w:r>
      <w:r w:rsidRPr="004E7C3D">
        <w:rPr>
          <w:rFonts w:eastAsia="Times New Roman" w:cstheme="minorHAnsi"/>
          <w:lang w:eastAsia="pl-PL"/>
        </w:rPr>
        <w:br/>
        <w:t xml:space="preserve">a mianowicie: nie w każdym przypadku potwierdzany jest podpisem fakt odbioru i/lub zdania wyposażenia (w rubryce tej często brakuje jakiejkolwiek innej informacji), nie wszystkie pozycje wypełniane są informacjami, do których były dedykowane., np. okres przydatności czy data zdania, na niektórych z wybranych kart brak jest również wypełnionych pozycji wymaganych, jak. np. okres używalności. Z jednej z wybranych kart nauczycieli wynika, że nauczyciel wychowania fizycznego </w:t>
      </w:r>
      <w:r w:rsidRPr="004E7C3D">
        <w:rPr>
          <w:rFonts w:eastAsia="Times New Roman" w:cstheme="minorHAnsi"/>
          <w:lang w:eastAsia="pl-PL"/>
        </w:rPr>
        <w:br/>
        <w:t>z przysługującego mu zestawu otrzymał jedynie dwa elementy. Ponadto brak potwierdzenia podpisem, otrzymania tego wyposażenia.</w:t>
      </w:r>
    </w:p>
    <w:p w14:paraId="5C237283" w14:textId="77777777" w:rsidR="004E7C3D" w:rsidRPr="004E7C3D" w:rsidRDefault="004E7C3D" w:rsidP="004E7C3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E7C3D">
        <w:rPr>
          <w:rFonts w:eastAsia="Times New Roman" w:cstheme="minorHAnsi"/>
          <w:lang w:eastAsia="pl-PL"/>
        </w:rPr>
        <w:t xml:space="preserve">Dodatkowo jak wynika z regulaminu przydziału i eksploatacji środków ochrony osobistej oraz odzieży </w:t>
      </w:r>
      <w:r w:rsidRPr="004E7C3D">
        <w:rPr>
          <w:rFonts w:eastAsia="Times New Roman" w:cstheme="minorHAnsi"/>
          <w:lang w:eastAsia="pl-PL"/>
        </w:rPr>
        <w:br/>
        <w:t xml:space="preserve">i obuwia roboczego dla pracowników Ośrodka zakupu niezbędnych środków ochrony indywidualnej itd., dokonuje intendent prowadzący gospodarkę tymi środkami zgodnie z dołączoną do regulaminu tabelą. Z analizy dokumentów wynika, że zakupu odzieży roboczej w jednym przypadku (z wybranej próby) dokonał bezpośrednio pracownik (odzież dla nauczycielki w-f). Powyższe udokumentowane zostało fakturą, na podstawie której po wyrażeniu zgody przez dyrektora dokonano zwrotu wydatkowanych przez pracownika środków. W obowiązującej w tym obszarze wewnętrznej regulacji, brak jest zapisów przewidujących dokonywanie takich czynności i opisujących tryb postępowania </w:t>
      </w:r>
      <w:r w:rsidRPr="004E7C3D">
        <w:rPr>
          <w:rFonts w:eastAsia="Times New Roman" w:cstheme="minorHAnsi"/>
          <w:lang w:eastAsia="pl-PL"/>
        </w:rPr>
        <w:br/>
        <w:t xml:space="preserve">w takich przypadkach. </w:t>
      </w:r>
    </w:p>
    <w:p w14:paraId="56ECFAA2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11</w:t>
      </w:r>
    </w:p>
    <w:p w14:paraId="5C57FA08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Karty ewidencyjne wyposażenia prowadzić prawidłowo, zamieszczając wszystkie wymagane w nich wpisy. </w:t>
      </w:r>
    </w:p>
    <w:p w14:paraId="361FF54D" w14:textId="77777777" w:rsidR="004E7C3D" w:rsidRPr="004E7C3D" w:rsidRDefault="004E7C3D" w:rsidP="004E7C3D">
      <w:pPr>
        <w:autoSpaceDN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E7C3D">
        <w:rPr>
          <w:rFonts w:eastAsia="Times New Roman" w:cstheme="minorHAnsi"/>
          <w:b/>
          <w:bCs/>
          <w:i/>
          <w:iCs/>
          <w:lang w:eastAsia="pl-PL"/>
        </w:rPr>
        <w:t>Wniosek pokontrolny nr 12</w:t>
      </w:r>
    </w:p>
    <w:p w14:paraId="03125023" w14:textId="77777777" w:rsidR="004E7C3D" w:rsidRPr="004E7C3D" w:rsidRDefault="004E7C3D" w:rsidP="004E7C3D">
      <w:pPr>
        <w:tabs>
          <w:tab w:val="left" w:pos="9072"/>
        </w:tabs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4E7C3D">
        <w:rPr>
          <w:rFonts w:eastAsia="Times New Roman" w:cstheme="minorHAnsi"/>
          <w:i/>
          <w:iCs/>
          <w:lang w:eastAsia="pl-PL"/>
        </w:rPr>
        <w:t xml:space="preserve">Wprowadzić w regulaminie przydziału i eksploatacji środków ochrony osobistej oraz odzieży </w:t>
      </w:r>
      <w:r w:rsidRPr="004E7C3D">
        <w:rPr>
          <w:rFonts w:eastAsia="Times New Roman" w:cstheme="minorHAnsi"/>
          <w:i/>
          <w:iCs/>
          <w:lang w:eastAsia="pl-PL"/>
        </w:rPr>
        <w:br/>
        <w:t>i obuwia roboczego zapisy zezwalające na dokonywanie zakupów przez pracowników bądź zaniechać dokonywania tego rodzaju czynności.</w:t>
      </w:r>
    </w:p>
    <w:p w14:paraId="785C3356" w14:textId="77777777" w:rsidR="000D3F5A" w:rsidRPr="004E7C3D" w:rsidRDefault="000D3F5A" w:rsidP="004E7C3D">
      <w:pPr>
        <w:spacing w:after="0" w:line="240" w:lineRule="auto"/>
        <w:jc w:val="both"/>
        <w:rPr>
          <w:rFonts w:cstheme="minorHAnsi"/>
        </w:rPr>
      </w:pPr>
    </w:p>
    <w:sectPr w:rsidR="000D3F5A" w:rsidRPr="004E7C3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132D" w14:textId="77777777" w:rsidR="00E5271D" w:rsidRDefault="00E5271D">
      <w:pPr>
        <w:spacing w:after="0" w:line="240" w:lineRule="auto"/>
      </w:pPr>
      <w:r>
        <w:separator/>
      </w:r>
    </w:p>
  </w:endnote>
  <w:endnote w:type="continuationSeparator" w:id="0">
    <w:p w14:paraId="4A6F2754" w14:textId="77777777" w:rsidR="00E5271D" w:rsidRDefault="00E5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EF8B" w14:textId="77777777" w:rsidR="00837F95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9379126" w14:textId="77777777" w:rsidR="00837F9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DE54" w14:textId="77777777" w:rsidR="00837F95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B160D10" w14:textId="77777777" w:rsidR="00837F9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E529" w14:textId="77777777" w:rsidR="00E5271D" w:rsidRDefault="00E5271D">
      <w:pPr>
        <w:spacing w:after="0" w:line="240" w:lineRule="auto"/>
      </w:pPr>
      <w:r>
        <w:separator/>
      </w:r>
    </w:p>
  </w:footnote>
  <w:footnote w:type="continuationSeparator" w:id="0">
    <w:p w14:paraId="521B757F" w14:textId="77777777" w:rsidR="00E5271D" w:rsidRDefault="00E5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AF"/>
    <w:rsid w:val="000201A8"/>
    <w:rsid w:val="000D3F5A"/>
    <w:rsid w:val="00182B86"/>
    <w:rsid w:val="001D6861"/>
    <w:rsid w:val="001E3D8E"/>
    <w:rsid w:val="002A66AF"/>
    <w:rsid w:val="002B767F"/>
    <w:rsid w:val="002E0049"/>
    <w:rsid w:val="0036135B"/>
    <w:rsid w:val="00376A3A"/>
    <w:rsid w:val="00452C46"/>
    <w:rsid w:val="004E7C3D"/>
    <w:rsid w:val="0051779A"/>
    <w:rsid w:val="0052518A"/>
    <w:rsid w:val="006C407D"/>
    <w:rsid w:val="00730455"/>
    <w:rsid w:val="00792835"/>
    <w:rsid w:val="007E6AD2"/>
    <w:rsid w:val="00885CB9"/>
    <w:rsid w:val="00890BA1"/>
    <w:rsid w:val="008C6197"/>
    <w:rsid w:val="00984A76"/>
    <w:rsid w:val="00A44E44"/>
    <w:rsid w:val="00A97036"/>
    <w:rsid w:val="00AF522A"/>
    <w:rsid w:val="00D51648"/>
    <w:rsid w:val="00D60C6D"/>
    <w:rsid w:val="00DB106F"/>
    <w:rsid w:val="00DC1E70"/>
    <w:rsid w:val="00DC4E29"/>
    <w:rsid w:val="00E16AD2"/>
    <w:rsid w:val="00E27CD7"/>
    <w:rsid w:val="00E5271D"/>
    <w:rsid w:val="00F7702C"/>
    <w:rsid w:val="00F97A45"/>
    <w:rsid w:val="00FB10EA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C438"/>
  <w15:chartTrackingRefBased/>
  <w15:docId w15:val="{5E90F04D-BB0B-430A-8B2C-AEF7FA8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779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77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E7C3D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7C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ryha4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.gofin.pl/ustawa-z-dnia-29091994-r-o-rachunkowosci,6r85jq9f8,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ojvg42d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amachnik</dc:creator>
  <cp:keywords/>
  <dc:description/>
  <cp:lastModifiedBy>amachnik</cp:lastModifiedBy>
  <cp:revision>3</cp:revision>
  <cp:lastPrinted>2022-09-19T06:25:00Z</cp:lastPrinted>
  <dcterms:created xsi:type="dcterms:W3CDTF">2022-09-15T07:49:00Z</dcterms:created>
  <dcterms:modified xsi:type="dcterms:W3CDTF">2022-09-19T06:29:00Z</dcterms:modified>
</cp:coreProperties>
</file>