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5B6A" w14:textId="77777777" w:rsidR="00390583" w:rsidRPr="00EB3426" w:rsidRDefault="00390583" w:rsidP="00390583">
      <w:pPr>
        <w:jc w:val="right"/>
        <w:rPr>
          <w:rFonts w:cs="Times New Roman"/>
          <w:b/>
        </w:rPr>
      </w:pPr>
      <w:r w:rsidRPr="00EB3426">
        <w:rPr>
          <w:rFonts w:cs="Times New Roman"/>
          <w:b/>
        </w:rPr>
        <w:t xml:space="preserve">Kielce, dnia </w:t>
      </w:r>
      <w:r w:rsidR="00C67E1C">
        <w:rPr>
          <w:rFonts w:cs="Times New Roman"/>
          <w:b/>
        </w:rPr>
        <w:t>5 października</w:t>
      </w:r>
      <w:r w:rsidR="00984C3E">
        <w:rPr>
          <w:rFonts w:cs="Times New Roman"/>
          <w:b/>
        </w:rPr>
        <w:t xml:space="preserve"> 2022</w:t>
      </w:r>
      <w:r w:rsidRPr="00EB3426">
        <w:rPr>
          <w:rFonts w:cs="Times New Roman"/>
          <w:b/>
        </w:rPr>
        <w:t xml:space="preserve"> r.</w:t>
      </w:r>
    </w:p>
    <w:p w14:paraId="34E9E220" w14:textId="77777777" w:rsidR="00390583" w:rsidRPr="00EB3426" w:rsidRDefault="00390583" w:rsidP="00390583">
      <w:pPr>
        <w:rPr>
          <w:rFonts w:cs="Times New Roman"/>
          <w:b/>
        </w:rPr>
      </w:pPr>
    </w:p>
    <w:p w14:paraId="0B94BFB1" w14:textId="77777777" w:rsidR="00390583" w:rsidRPr="00EB3426" w:rsidRDefault="00C67E1C" w:rsidP="00390583">
      <w:pPr>
        <w:rPr>
          <w:rFonts w:cs="Times New Roman"/>
          <w:b/>
        </w:rPr>
      </w:pPr>
      <w:r>
        <w:rPr>
          <w:rFonts w:cs="Times New Roman"/>
          <w:b/>
        </w:rPr>
        <w:t>KP-II.1431.17</w:t>
      </w:r>
      <w:r w:rsidR="00984C3E">
        <w:rPr>
          <w:rFonts w:cs="Times New Roman"/>
          <w:b/>
        </w:rPr>
        <w:t>.2022</w:t>
      </w:r>
    </w:p>
    <w:p w14:paraId="648AA983" w14:textId="77777777" w:rsidR="00390583" w:rsidRDefault="00390583" w:rsidP="00390583">
      <w:pPr>
        <w:rPr>
          <w:rFonts w:cs="Times New Roman"/>
          <w:b/>
        </w:rPr>
      </w:pPr>
    </w:p>
    <w:p w14:paraId="3695F9FB" w14:textId="77777777" w:rsidR="00961193" w:rsidRDefault="00961193" w:rsidP="00390583">
      <w:pPr>
        <w:rPr>
          <w:rFonts w:cs="Times New Roman"/>
          <w:b/>
        </w:rPr>
      </w:pPr>
    </w:p>
    <w:p w14:paraId="32A3E189" w14:textId="77777777" w:rsidR="00961193" w:rsidRPr="00EB3426" w:rsidRDefault="00961193" w:rsidP="00390583">
      <w:pPr>
        <w:rPr>
          <w:rFonts w:cs="Times New Roman"/>
          <w:b/>
        </w:rPr>
      </w:pPr>
    </w:p>
    <w:p w14:paraId="541005F5" w14:textId="77777777" w:rsidR="008C6EA1" w:rsidRPr="00EB3426" w:rsidRDefault="00C67E1C" w:rsidP="00390583">
      <w:pPr>
        <w:rPr>
          <w:rFonts w:cs="Times New Roman"/>
          <w:b/>
        </w:rPr>
      </w:pPr>
      <w:r>
        <w:rPr>
          <w:rFonts w:cs="Times New Roman"/>
          <w:b/>
        </w:rPr>
        <w:t>Wyniki kontroli problemowej przeprowadzonej w Miejskim Ośrodku Sportu i Rekreacji w Kielcach.</w:t>
      </w:r>
    </w:p>
    <w:p w14:paraId="05C162E5" w14:textId="77777777" w:rsidR="00390583" w:rsidRPr="00EB3426" w:rsidRDefault="00390583" w:rsidP="00390583">
      <w:pPr>
        <w:rPr>
          <w:rFonts w:cs="Times New Roman"/>
        </w:rPr>
      </w:pPr>
    </w:p>
    <w:p w14:paraId="66FBAB54" w14:textId="77777777" w:rsidR="00390583" w:rsidRPr="00EB3426" w:rsidRDefault="00390583" w:rsidP="00390583">
      <w:pPr>
        <w:rPr>
          <w:rFonts w:cs="Times New Roman"/>
        </w:rPr>
      </w:pPr>
    </w:p>
    <w:p w14:paraId="5FE8A1EF" w14:textId="77777777" w:rsidR="00390583" w:rsidRPr="00EB3426" w:rsidRDefault="00390583" w:rsidP="008C6EA1">
      <w:pPr>
        <w:jc w:val="both"/>
        <w:rPr>
          <w:rFonts w:cs="Times New Roman"/>
        </w:rPr>
      </w:pPr>
      <w:r w:rsidRPr="00EB3426">
        <w:rPr>
          <w:rFonts w:cs="Times New Roman"/>
        </w:rPr>
        <w:t>Na podstawie upo</w:t>
      </w:r>
      <w:r w:rsidR="008C6EA1" w:rsidRPr="00EB3426">
        <w:rPr>
          <w:rFonts w:cs="Times New Roman"/>
        </w:rPr>
        <w:t>ważnienia Nr 1</w:t>
      </w:r>
      <w:r w:rsidR="00984C3E">
        <w:rPr>
          <w:rFonts w:cs="Times New Roman"/>
        </w:rPr>
        <w:t>5/2022</w:t>
      </w:r>
      <w:r w:rsidRPr="00EB3426">
        <w:rPr>
          <w:rFonts w:cs="Times New Roman"/>
        </w:rPr>
        <w:t xml:space="preserve"> z dnia </w:t>
      </w:r>
      <w:r w:rsidR="00984C3E">
        <w:rPr>
          <w:rFonts w:cs="Times New Roman"/>
        </w:rPr>
        <w:t>8 lipca 2022</w:t>
      </w:r>
      <w:r w:rsidR="008C6EA1" w:rsidRPr="00EB3426">
        <w:rPr>
          <w:rFonts w:cs="Times New Roman"/>
        </w:rPr>
        <w:t xml:space="preserve"> roku</w:t>
      </w:r>
      <w:r w:rsidRPr="00EB3426">
        <w:rPr>
          <w:rFonts w:cs="Times New Roman"/>
        </w:rPr>
        <w:t xml:space="preserve"> wydanego przez Pre</w:t>
      </w:r>
      <w:r w:rsidR="008C6EA1" w:rsidRPr="00EB3426">
        <w:rPr>
          <w:rFonts w:cs="Times New Roman"/>
        </w:rPr>
        <w:t xml:space="preserve">zydenta Miasta Kielce, pracownicy Biura Audytu Wewnętrznego i </w:t>
      </w:r>
      <w:r w:rsidRPr="00EB3426">
        <w:rPr>
          <w:rFonts w:cs="Times New Roman"/>
        </w:rPr>
        <w:t xml:space="preserve"> Kontroli </w:t>
      </w:r>
      <w:r w:rsidR="008C6EA1" w:rsidRPr="00EB3426">
        <w:rPr>
          <w:rFonts w:cs="Times New Roman"/>
        </w:rPr>
        <w:t>w Kancelarii Prezydenta</w:t>
      </w:r>
      <w:r w:rsidRPr="00EB3426">
        <w:rPr>
          <w:rFonts w:cs="Times New Roman"/>
        </w:rPr>
        <w:t xml:space="preserve"> Urzędu Miasta Kielce przeprowadził kontrolę </w:t>
      </w:r>
      <w:r w:rsidR="00984C3E">
        <w:rPr>
          <w:rFonts w:cs="Times New Roman"/>
        </w:rPr>
        <w:t>problemową</w:t>
      </w:r>
      <w:r w:rsidR="008C6EA1" w:rsidRPr="00EB3426">
        <w:rPr>
          <w:rFonts w:cs="Times New Roman"/>
        </w:rPr>
        <w:t xml:space="preserve"> w zakresie </w:t>
      </w:r>
      <w:r w:rsidR="00984C3E">
        <w:rPr>
          <w:rFonts w:cs="Times New Roman"/>
        </w:rPr>
        <w:t>spraw organizacyjno-prawnych, prawidłowości prowadzenia gospodarki pieniężnej, rozrachunków, gospodarki środkami trwałymi i wyposażeniem, dochodów i wydatków, a także przestrzegania przepisów ustawy Prawo zamówień publicznych.</w:t>
      </w:r>
      <w:r w:rsidR="00984C3E">
        <w:rPr>
          <w:rFonts w:cs="Times New Roman"/>
        </w:rPr>
        <w:br/>
      </w:r>
      <w:r w:rsidRPr="00EB3426">
        <w:rPr>
          <w:rFonts w:cs="Times New Roman"/>
        </w:rPr>
        <w:t xml:space="preserve">W wyniku kontroli stwierdzono </w:t>
      </w:r>
      <w:r w:rsidR="008B7177">
        <w:rPr>
          <w:rFonts w:cs="Times New Roman"/>
        </w:rPr>
        <w:t>niżej opisane nieprawidłowości:</w:t>
      </w:r>
    </w:p>
    <w:p w14:paraId="7A9947A8" w14:textId="77777777" w:rsidR="00390583" w:rsidRPr="00EB3426" w:rsidRDefault="00390583" w:rsidP="00390583">
      <w:pPr>
        <w:rPr>
          <w:rFonts w:cs="Times New Roman"/>
        </w:rPr>
      </w:pPr>
    </w:p>
    <w:p w14:paraId="655EDF35" w14:textId="77777777" w:rsidR="00984C3E" w:rsidRPr="00984C3E" w:rsidRDefault="00984C3E" w:rsidP="00984C3E">
      <w:pPr>
        <w:jc w:val="both"/>
        <w:rPr>
          <w:rFonts w:cs="Times New Roman"/>
        </w:rPr>
      </w:pPr>
      <w:r w:rsidRPr="00984C3E">
        <w:rPr>
          <w:rFonts w:cs="Times New Roman"/>
        </w:rPr>
        <w:t xml:space="preserve">Wysokość pogotowia kasowego (niezbędnego zapasu gotówki na wydatki bieżące) została ustalona </w:t>
      </w:r>
      <w:r>
        <w:rPr>
          <w:rFonts w:cs="Times New Roman"/>
        </w:rPr>
        <w:br/>
      </w:r>
      <w:r w:rsidRPr="00984C3E">
        <w:rPr>
          <w:rFonts w:cs="Times New Roman"/>
        </w:rPr>
        <w:t>w jednostce na czas nieokreślony w wysokości 3.000 zł dla kasy głównej. Natomiast na obiektach po odprowadzeniu gotówki w kasie może pozostać pogotowie kasowe w wysokości nie przekraczającej 400 zł. Podczas czynności kontrolnych stwierdzono, że w 2021 roku zdarzały się przypadki p</w:t>
      </w:r>
      <w:r>
        <w:rPr>
          <w:rFonts w:cs="Times New Roman"/>
        </w:rPr>
        <w:t xml:space="preserve">rzekroczenia pogotowia kasowego </w:t>
      </w:r>
      <w:r w:rsidRPr="00984C3E">
        <w:rPr>
          <w:rFonts w:cs="Times New Roman"/>
        </w:rPr>
        <w:t>w kasie głównej - RK 13/05/2021/KG/W, RK 14/05/2021/KG/W, RK 16/06/2021/KG/W, kasie w Hotelu „Stadion” – RK 11/04/2021/SH, RK 17/06/2021/SH, kasie basenu letniego – RK 1/06/2021/NLB.</w:t>
      </w:r>
    </w:p>
    <w:p w14:paraId="03A5D2BE" w14:textId="77777777" w:rsidR="00984C3E" w:rsidRPr="00984C3E" w:rsidRDefault="00984C3E" w:rsidP="00984C3E">
      <w:pPr>
        <w:rPr>
          <w:rFonts w:cs="Times New Roman"/>
          <w:b/>
          <w:i/>
        </w:rPr>
      </w:pPr>
      <w:r w:rsidRPr="00984C3E">
        <w:rPr>
          <w:rFonts w:cs="Times New Roman"/>
          <w:b/>
          <w:i/>
        </w:rPr>
        <w:t xml:space="preserve">Wniosek pokontrolny Nr 1 </w:t>
      </w:r>
    </w:p>
    <w:p w14:paraId="0B927860" w14:textId="77777777" w:rsidR="00984C3E" w:rsidRDefault="00984C3E" w:rsidP="00984C3E">
      <w:pPr>
        <w:jc w:val="both"/>
        <w:rPr>
          <w:rFonts w:cs="Times New Roman"/>
          <w:i/>
        </w:rPr>
      </w:pPr>
      <w:r w:rsidRPr="00984C3E">
        <w:rPr>
          <w:rFonts w:cs="Times New Roman"/>
          <w:i/>
        </w:rPr>
        <w:t>W dalszej działalności jednostki przestrzegać ustalonej wysokości pogotowia kasowego dla kasy głównej, jak i dla kas na obiektach.</w:t>
      </w:r>
    </w:p>
    <w:p w14:paraId="0D20BAF1" w14:textId="77777777" w:rsidR="00984C3E" w:rsidRPr="00984C3E" w:rsidRDefault="00984C3E" w:rsidP="00984C3E">
      <w:pPr>
        <w:jc w:val="both"/>
        <w:rPr>
          <w:rFonts w:cs="Times New Roman"/>
          <w:i/>
        </w:rPr>
      </w:pPr>
    </w:p>
    <w:p w14:paraId="3BB06EA4" w14:textId="77777777" w:rsidR="00984C3E" w:rsidRPr="00984C3E" w:rsidRDefault="00984C3E" w:rsidP="00984C3E">
      <w:pPr>
        <w:jc w:val="both"/>
        <w:rPr>
          <w:rFonts w:cs="Times New Roman"/>
        </w:rPr>
      </w:pPr>
      <w:r w:rsidRPr="00984C3E">
        <w:rPr>
          <w:rFonts w:cs="Times New Roman"/>
        </w:rPr>
        <w:t>MOSiR administruje (zarządza) w imieniu Gminy Kielce nieruchomościami, na których usytuowane są obiekty, na których prowadzi działalność. W związku z powyższy</w:t>
      </w:r>
      <w:r w:rsidR="008E496E">
        <w:rPr>
          <w:rFonts w:cs="Times New Roman"/>
        </w:rPr>
        <w:t xml:space="preserve">m obowiązek złożenia deklaracji </w:t>
      </w:r>
      <w:r w:rsidR="00BC5654">
        <w:rPr>
          <w:rFonts w:cs="Times New Roman"/>
        </w:rPr>
        <w:t xml:space="preserve">na podatek od nieruchomości </w:t>
      </w:r>
      <w:r w:rsidRPr="00984C3E">
        <w:rPr>
          <w:rFonts w:cs="Times New Roman"/>
        </w:rPr>
        <w:t xml:space="preserve">w Wydziale Podatków, Zarządzania Należnościami i Windykacji ciąży na najemcach lokali, najemcach powierzchni pod prowadzoną przez nich </w:t>
      </w:r>
      <w:r w:rsidR="008E496E">
        <w:rPr>
          <w:rFonts w:cs="Times New Roman"/>
        </w:rPr>
        <w:t xml:space="preserve">działalność gospodarczą zgodnie </w:t>
      </w:r>
      <w:r w:rsidRPr="00984C3E">
        <w:rPr>
          <w:rFonts w:cs="Times New Roman"/>
        </w:rPr>
        <w:t xml:space="preserve">z zapisami umów najmu (wykaz umów przekazywany jest do Wydziału Podatków, Zarządzania Należnościami i Windykacji). Podczas kontroli wybranych umów najmu stwierdzono, że w umowie nr NU/L/1/2021 z dnia 01.03.2021 r. brak uregulowań w zakresie obowiązku spoczywającego na najemcy z tytułu naliczenia i płatności podatku od nieruchomości. Ustalono </w:t>
      </w:r>
      <w:r w:rsidR="00BC5654">
        <w:rPr>
          <w:rFonts w:cs="Times New Roman"/>
        </w:rPr>
        <w:br/>
      </w:r>
      <w:r w:rsidRPr="00984C3E">
        <w:rPr>
          <w:rFonts w:cs="Times New Roman"/>
        </w:rPr>
        <w:t xml:space="preserve">z pracownikiem Referatu Wymiaru Podatków i Opłat od Osób Fizycznych, że MOSiR nie przekazał ww. umowy oraz najemca w 2021 roku nie złożył stosownej deklaracji, a co za tym idzie brak płatności podatku od nieruchomości. </w:t>
      </w:r>
    </w:p>
    <w:p w14:paraId="7A91612B" w14:textId="77777777" w:rsidR="00984C3E" w:rsidRPr="008E496E" w:rsidRDefault="008E496E" w:rsidP="00984C3E">
      <w:pPr>
        <w:rPr>
          <w:rFonts w:cs="Times New Roman"/>
          <w:b/>
          <w:i/>
        </w:rPr>
      </w:pPr>
      <w:r w:rsidRPr="008E496E">
        <w:rPr>
          <w:rFonts w:cs="Times New Roman"/>
          <w:b/>
          <w:i/>
        </w:rPr>
        <w:t>Wniosek pokontrolny Nr 2</w:t>
      </w:r>
    </w:p>
    <w:p w14:paraId="3649956C" w14:textId="77777777" w:rsidR="00984C3E" w:rsidRPr="008E496E" w:rsidRDefault="008E496E" w:rsidP="008E496E">
      <w:pPr>
        <w:jc w:val="both"/>
        <w:rPr>
          <w:rFonts w:cs="Times New Roman"/>
          <w:i/>
        </w:rPr>
      </w:pPr>
      <w:r w:rsidRPr="008E496E">
        <w:rPr>
          <w:rFonts w:cs="Times New Roman"/>
          <w:i/>
        </w:rPr>
        <w:t xml:space="preserve">W dalszej działalności jednostki wykaz umów </w:t>
      </w:r>
      <w:r w:rsidR="007924C2">
        <w:rPr>
          <w:rFonts w:cs="Times New Roman"/>
          <w:i/>
        </w:rPr>
        <w:t xml:space="preserve">na bieżąco </w:t>
      </w:r>
      <w:r w:rsidRPr="008E496E">
        <w:rPr>
          <w:rFonts w:cs="Times New Roman"/>
          <w:i/>
        </w:rPr>
        <w:t xml:space="preserve">przekazywać do Wydziału Podatków, Zarządzania Należnościami i Windykacji Urzędu Miasta Kielce oraz w każdej umowie z najemcą  zawrzeć zapis </w:t>
      </w:r>
      <w:r>
        <w:rPr>
          <w:rFonts w:cs="Times New Roman"/>
          <w:i/>
        </w:rPr>
        <w:t xml:space="preserve">o </w:t>
      </w:r>
      <w:r w:rsidRPr="008E496E">
        <w:rPr>
          <w:rFonts w:cs="Times New Roman"/>
          <w:i/>
        </w:rPr>
        <w:t xml:space="preserve">obowiązku </w:t>
      </w:r>
      <w:r>
        <w:rPr>
          <w:rFonts w:cs="Times New Roman"/>
          <w:i/>
        </w:rPr>
        <w:t xml:space="preserve">na nim spoczywającym </w:t>
      </w:r>
      <w:r w:rsidRPr="008E496E">
        <w:rPr>
          <w:rFonts w:cs="Times New Roman"/>
          <w:i/>
        </w:rPr>
        <w:t>z tytułu naliczenia i płatności podatku od nieruchomości</w:t>
      </w:r>
      <w:r>
        <w:rPr>
          <w:rFonts w:cs="Times New Roman"/>
          <w:i/>
        </w:rPr>
        <w:t>.</w:t>
      </w:r>
    </w:p>
    <w:p w14:paraId="3FF6322A" w14:textId="77777777" w:rsidR="008E496E" w:rsidRPr="00984C3E" w:rsidRDefault="008E496E" w:rsidP="00984C3E">
      <w:pPr>
        <w:rPr>
          <w:rFonts w:cs="Times New Roman"/>
        </w:rPr>
      </w:pPr>
    </w:p>
    <w:p w14:paraId="62EF5E9B" w14:textId="77777777" w:rsidR="00984C3E" w:rsidRPr="00E47C4F" w:rsidRDefault="00E47C4F" w:rsidP="00F51931">
      <w:pPr>
        <w:jc w:val="both"/>
        <w:rPr>
          <w:rFonts w:cs="Times New Roman"/>
        </w:rPr>
      </w:pPr>
      <w:r w:rsidRPr="00E47C4F">
        <w:rPr>
          <w:rFonts w:cs="Times New Roman"/>
        </w:rPr>
        <w:t>Skontrolowano naliczenie wynagrodzenia pracowników z tytułu urlopu okolicznościowego oraz pracowników wychowują</w:t>
      </w:r>
      <w:r w:rsidR="007478C2">
        <w:rPr>
          <w:rFonts w:cs="Times New Roman"/>
        </w:rPr>
        <w:t xml:space="preserve">cych przynajmniej jedno dziecko </w:t>
      </w:r>
      <w:r w:rsidRPr="00E47C4F">
        <w:rPr>
          <w:rFonts w:cs="Times New Roman"/>
        </w:rPr>
        <w:t xml:space="preserve">w wieku do 14 lat, którym przysługuje </w:t>
      </w:r>
      <w:r w:rsidR="001A2297">
        <w:rPr>
          <w:rFonts w:cs="Times New Roman"/>
        </w:rPr>
        <w:br/>
      </w:r>
      <w:r w:rsidRPr="00E47C4F">
        <w:rPr>
          <w:rFonts w:cs="Times New Roman"/>
        </w:rPr>
        <w:t>w ciągu roku kalendarzowego zwolnienie od pracy w wymiarze 16 godzin albo 2 dni, z zachowaniem prawa do wynagrodzenia. O sposobie wykorzystania w danym roku kalendarzowym urlopu z tytułu opieki na dziecko do lat 14 decyduje pracownik w pierwszym wniosku o udzielen</w:t>
      </w:r>
      <w:r w:rsidR="007478C2">
        <w:rPr>
          <w:rFonts w:cs="Times New Roman"/>
        </w:rPr>
        <w:t xml:space="preserve">ie takiego zwolnienia złożonym </w:t>
      </w:r>
      <w:r w:rsidRPr="00E47C4F">
        <w:rPr>
          <w:rFonts w:cs="Times New Roman"/>
        </w:rPr>
        <w:t xml:space="preserve">w danym roku kalendarzowym. W trakcie kontroli ustalono, że w przypadku pracowników, którzy mają przedłużony czas pracy, np. do 12 godzin ww. wynagrodzenie pracownik miał przeliczone według faktycznych godzin pracy i tak niektórzy pracownicy mieli wypłacone wynagrodzenie za czas </w:t>
      </w:r>
      <w:r w:rsidRPr="00E47C4F">
        <w:rPr>
          <w:rFonts w:cs="Times New Roman"/>
        </w:rPr>
        <w:lastRenderedPageBreak/>
        <w:t xml:space="preserve">opieki nad dzieckiem za 24 godziny. Dobowa norma czasu pracy dla takiego pracownika wynosi </w:t>
      </w:r>
      <w:r w:rsidR="007474A0">
        <w:rPr>
          <w:rFonts w:cs="Times New Roman"/>
        </w:rPr>
        <w:br/>
      </w:r>
      <w:r w:rsidRPr="00E47C4F">
        <w:rPr>
          <w:rFonts w:cs="Times New Roman"/>
        </w:rPr>
        <w:t xml:space="preserve">8 godzin, a w związku ze stosowanym rozkładem czasu pracy została przedłużona do 12 godzin. </w:t>
      </w:r>
      <w:r w:rsidR="007474A0">
        <w:rPr>
          <w:rFonts w:cs="Times New Roman"/>
        </w:rPr>
        <w:br/>
      </w:r>
      <w:r w:rsidRPr="00E47C4F">
        <w:rPr>
          <w:rFonts w:cs="Times New Roman"/>
        </w:rPr>
        <w:t>W związku z powyższym wynagrodzenie  to powinno być wypłacone za 2 dni  lub 16 godzin, a nie za  24 godziny.</w:t>
      </w:r>
    </w:p>
    <w:p w14:paraId="140D48FD" w14:textId="77777777" w:rsidR="00F51931" w:rsidRDefault="007478C2" w:rsidP="00F51931">
      <w:r w:rsidRPr="007478C2">
        <w:rPr>
          <w:rFonts w:cs="Times New Roman"/>
          <w:b/>
          <w:i/>
        </w:rPr>
        <w:t>Wniosek pokontrolny Nr 3</w:t>
      </w:r>
      <w:r w:rsidR="00F51931" w:rsidRPr="00F51931">
        <w:t xml:space="preserve"> </w:t>
      </w:r>
    </w:p>
    <w:p w14:paraId="5CB5BBDE" w14:textId="77777777" w:rsidR="00F51931" w:rsidRPr="001A2297" w:rsidRDefault="00F51931" w:rsidP="001A2297">
      <w:pPr>
        <w:jc w:val="both"/>
        <w:rPr>
          <w:rFonts w:cs="Times New Roman"/>
          <w:i/>
        </w:rPr>
      </w:pPr>
      <w:r w:rsidRPr="001A2297">
        <w:rPr>
          <w:rFonts w:cs="Times New Roman"/>
          <w:i/>
        </w:rPr>
        <w:t xml:space="preserve">Wynagrodzenie za czas urlopu okolicznościowego oraz wynagrodzenie dla pracowników wychowujących przynajmniej jedno dziecko w wieku do 14 lat obliczać zgodnie  z wymiarem zatrudnienia oraz złożonym wnioskiem, ze szczególnym uwzględnieniem § 5 Rozporządzenia Ministra Pracy i Polityki Socjalnej z dnia 29.05.1996 r. w sprawie sposobu ustalania wynagrodzenia w okresie niewykonywania pracy oraz wynagrodzenia stanowiącego podstawę obliczania odszkodowań, odpraw, dodatków wyrównawczych do wynagrodzenia oraz innych należności przewidzianych </w:t>
      </w:r>
      <w:r w:rsidR="007474A0">
        <w:rPr>
          <w:rFonts w:cs="Times New Roman"/>
          <w:i/>
        </w:rPr>
        <w:br/>
      </w:r>
      <w:r w:rsidRPr="001A2297">
        <w:rPr>
          <w:rFonts w:cs="Times New Roman"/>
          <w:i/>
        </w:rPr>
        <w:t xml:space="preserve">w Kodeksie Pracy. </w:t>
      </w:r>
    </w:p>
    <w:p w14:paraId="42F52910" w14:textId="77777777" w:rsidR="00984C3E" w:rsidRPr="007478C2" w:rsidRDefault="00984C3E" w:rsidP="001A2297">
      <w:pPr>
        <w:jc w:val="both"/>
        <w:rPr>
          <w:rFonts w:cs="Times New Roman"/>
          <w:b/>
          <w:i/>
        </w:rPr>
      </w:pPr>
    </w:p>
    <w:p w14:paraId="5235167D" w14:textId="77777777" w:rsidR="00984C3E" w:rsidRPr="001A2297" w:rsidRDefault="001A2297" w:rsidP="001A2297">
      <w:pPr>
        <w:jc w:val="both"/>
        <w:rPr>
          <w:rFonts w:cs="Times New Roman"/>
        </w:rPr>
      </w:pPr>
      <w:r w:rsidRPr="001A2297">
        <w:rPr>
          <w:rFonts w:cs="Times New Roman"/>
        </w:rPr>
        <w:t xml:space="preserve">Kontroli poddano oświadczenia o korzystaniu z własnego samochodu osobowego do celów służbowych. Zgodnie z § 4 pkt.4 regulaminu </w:t>
      </w:r>
      <w:proofErr w:type="spellStart"/>
      <w:r w:rsidRPr="001A2297">
        <w:rPr>
          <w:rFonts w:cs="Times New Roman"/>
        </w:rPr>
        <w:t>ws</w:t>
      </w:r>
      <w:proofErr w:type="spellEnd"/>
      <w:r w:rsidRPr="001A2297">
        <w:rPr>
          <w:rFonts w:cs="Times New Roman"/>
        </w:rPr>
        <w:t>. używania samochodu prywatnego do celów służbowych wprowadzonego zarządzeniem nr 9/2020 z dnia 22.01.2019 r.</w:t>
      </w:r>
      <w:r w:rsidR="007924C2">
        <w:rPr>
          <w:rFonts w:cs="Times New Roman"/>
        </w:rPr>
        <w:t>,</w:t>
      </w:r>
      <w:r w:rsidRPr="001A2297">
        <w:rPr>
          <w:rFonts w:cs="Times New Roman"/>
        </w:rPr>
        <w:t xml:space="preserve"> oświadczenie składa się </w:t>
      </w:r>
      <w:r w:rsidR="007474A0">
        <w:rPr>
          <w:rFonts w:cs="Times New Roman"/>
        </w:rPr>
        <w:br/>
      </w:r>
      <w:r w:rsidRPr="001A2297">
        <w:rPr>
          <w:rFonts w:cs="Times New Roman"/>
        </w:rPr>
        <w:t>w ciągu 7 dni od zakończenia miesiąca, którego oświadczenie dotyczy natomiast w umowie wskazano termin do 15 dnia każdego miesiąca. Ustalono, że w 2021 r. w każdym przypadku oświadczenia zostały złożone do dnia 15 każdego miesiąca tj. zgodnie z terminem wynikającym z umowy.</w:t>
      </w:r>
    </w:p>
    <w:p w14:paraId="59ACA4C8" w14:textId="77777777" w:rsidR="001A2297" w:rsidRDefault="001A2297" w:rsidP="001A2297">
      <w:pPr>
        <w:rPr>
          <w:rFonts w:cs="Times New Roman"/>
          <w:b/>
        </w:rPr>
      </w:pPr>
      <w:r>
        <w:rPr>
          <w:rFonts w:cs="Times New Roman"/>
          <w:b/>
        </w:rPr>
        <w:t>Wniosek pokontrolny Nr 4</w:t>
      </w:r>
    </w:p>
    <w:p w14:paraId="4F3A71A9" w14:textId="77777777" w:rsidR="001A2297" w:rsidRPr="007924C2" w:rsidRDefault="001A2297" w:rsidP="007924C2">
      <w:pPr>
        <w:jc w:val="both"/>
        <w:rPr>
          <w:rFonts w:cs="Times New Roman"/>
          <w:i/>
        </w:rPr>
      </w:pPr>
      <w:r w:rsidRPr="007924C2">
        <w:rPr>
          <w:rFonts w:cs="Times New Roman"/>
          <w:i/>
        </w:rPr>
        <w:t xml:space="preserve">W dalszej działalności jednostki ujednolicić termin składania oświadczeń o korzystaniu z własnego samochodu osobowego do celów służbowych.  </w:t>
      </w:r>
    </w:p>
    <w:p w14:paraId="1027348B" w14:textId="77777777" w:rsidR="001A2297" w:rsidRDefault="001A2297" w:rsidP="001A2297">
      <w:pPr>
        <w:rPr>
          <w:rFonts w:cs="Times New Roman"/>
          <w:b/>
        </w:rPr>
      </w:pPr>
    </w:p>
    <w:p w14:paraId="4B176B4C" w14:textId="77777777" w:rsidR="001A2297" w:rsidRDefault="001A2297" w:rsidP="001A2297">
      <w:pPr>
        <w:jc w:val="both"/>
        <w:rPr>
          <w:rFonts w:cs="Times New Roman"/>
        </w:rPr>
      </w:pPr>
      <w:r w:rsidRPr="001A2297">
        <w:rPr>
          <w:rFonts w:cs="Times New Roman"/>
        </w:rPr>
        <w:t xml:space="preserve">W jednym przypadku stwierdzono, że koszt delegacji związanej z udziałem w konferencji szkoleniowej </w:t>
      </w:r>
      <w:r>
        <w:rPr>
          <w:rFonts w:cs="Times New Roman"/>
        </w:rPr>
        <w:t xml:space="preserve">został zakwalifikowany do </w:t>
      </w:r>
      <w:r w:rsidRPr="001A2297">
        <w:rPr>
          <w:rFonts w:cs="Times New Roman"/>
        </w:rPr>
        <w:t>§ 4410</w:t>
      </w:r>
      <w:r>
        <w:rPr>
          <w:rFonts w:cs="Times New Roman"/>
        </w:rPr>
        <w:t>.</w:t>
      </w:r>
    </w:p>
    <w:p w14:paraId="5C7C224B" w14:textId="77777777" w:rsidR="001A2297" w:rsidRPr="001A2297" w:rsidRDefault="001A2297" w:rsidP="001A2297">
      <w:pPr>
        <w:jc w:val="both"/>
        <w:rPr>
          <w:rFonts w:cs="Times New Roman"/>
          <w:b/>
          <w:i/>
        </w:rPr>
      </w:pPr>
      <w:r w:rsidRPr="001A2297">
        <w:rPr>
          <w:rFonts w:cs="Times New Roman"/>
          <w:b/>
          <w:i/>
        </w:rPr>
        <w:t>Wniosek pokontrolnych Nr 5</w:t>
      </w:r>
    </w:p>
    <w:p w14:paraId="213C6F5D" w14:textId="77777777" w:rsidR="001A2297" w:rsidRPr="001A2297" w:rsidRDefault="001A2297" w:rsidP="001A2297">
      <w:pPr>
        <w:jc w:val="both"/>
        <w:rPr>
          <w:rFonts w:cs="Times New Roman"/>
        </w:rPr>
      </w:pPr>
      <w:r>
        <w:rPr>
          <w:rFonts w:cs="Times New Roman"/>
        </w:rPr>
        <w:t xml:space="preserve">W dalszej działalności jednostki wszystkie koszty związane ze szkoleniem, </w:t>
      </w:r>
      <w:r w:rsidRPr="001A2297">
        <w:rPr>
          <w:rFonts w:cs="Times New Roman"/>
        </w:rPr>
        <w:t>w tym koszty dojazdów</w:t>
      </w:r>
      <w:r>
        <w:rPr>
          <w:rFonts w:cs="Times New Roman"/>
        </w:rPr>
        <w:t xml:space="preserve">, zakwaterowania czy wyżywienia ujmować w  § 4700 </w:t>
      </w:r>
      <w:r w:rsidRPr="001A2297">
        <w:rPr>
          <w:rFonts w:cs="Times New Roman"/>
        </w:rPr>
        <w:t xml:space="preserve">zgodnie z Rozporządzeniem Ministra Finansów </w:t>
      </w:r>
      <w:r>
        <w:rPr>
          <w:rFonts w:cs="Times New Roman"/>
        </w:rPr>
        <w:br/>
      </w:r>
      <w:r w:rsidRPr="001A2297">
        <w:rPr>
          <w:rFonts w:cs="Times New Roman"/>
        </w:rPr>
        <w:t>z dnia 02.03.2010 r. w sprawie szczegółowej klasyfikacji dochodów, wydatków, przychodów</w:t>
      </w:r>
      <w:r>
        <w:rPr>
          <w:rFonts w:cs="Times New Roman"/>
        </w:rPr>
        <w:t xml:space="preserve"> </w:t>
      </w:r>
      <w:r>
        <w:rPr>
          <w:rFonts w:cs="Times New Roman"/>
        </w:rPr>
        <w:br/>
      </w:r>
      <w:r w:rsidRPr="001A2297">
        <w:rPr>
          <w:rFonts w:cs="Times New Roman"/>
        </w:rPr>
        <w:t>i rozchodów  oraz środków pochodzących ze źródeł zagran</w:t>
      </w:r>
      <w:r>
        <w:rPr>
          <w:rFonts w:cs="Times New Roman"/>
        </w:rPr>
        <w:t>icznych (tekst jednolity Dz. U. z 2022, poz. 513).</w:t>
      </w:r>
    </w:p>
    <w:p w14:paraId="26890DA4" w14:textId="77777777" w:rsidR="001A2297" w:rsidRDefault="001A2297" w:rsidP="001A2297">
      <w:pPr>
        <w:jc w:val="both"/>
        <w:rPr>
          <w:rFonts w:cs="Times New Roman"/>
        </w:rPr>
      </w:pPr>
    </w:p>
    <w:p w14:paraId="72DD11A9" w14:textId="77777777" w:rsidR="001A2297" w:rsidRDefault="001A2297" w:rsidP="001A2297">
      <w:pPr>
        <w:jc w:val="both"/>
        <w:rPr>
          <w:rFonts w:cs="Times New Roman"/>
        </w:rPr>
      </w:pPr>
      <w:r w:rsidRPr="001A2297">
        <w:rPr>
          <w:rFonts w:cs="Times New Roman"/>
        </w:rPr>
        <w:t xml:space="preserve">Dowody księgowe potwierdzające sprzedaż nie posiadają dekretu oraz informacji o pozycji dziennika czy pozycji z rejestru sprzedaży. Na koniec miesiąca drukowane jest zbiorcze zestawienie (raport)  zaewidencjonowanych w danym okresie sprawozdawczym dokumentów. Zgodnie z art. 21, ust. 1a, pkt. 2 ustawy o rachunkowości (tekst jednolity Dz. U. z 2021 r. poz. 217 </w:t>
      </w:r>
      <w:proofErr w:type="spellStart"/>
      <w:r w:rsidRPr="001A2297">
        <w:rPr>
          <w:rFonts w:cs="Times New Roman"/>
        </w:rPr>
        <w:t>późn</w:t>
      </w:r>
      <w:proofErr w:type="spellEnd"/>
      <w:r w:rsidRPr="001A2297">
        <w:rPr>
          <w:rFonts w:cs="Times New Roman"/>
        </w:rPr>
        <w:t xml:space="preserve">. zm.) dekrety mogą nie być zamieszczane na dowodzie księgowym, jeśli wynika to z techniki dokumentowania zapisów księgowych. Oznacza to, że można zaniechać zamieszczania na dowodzie księgowym dekretacji, jeżeli jednostka dokonuje wydruku dekretu bezpośrednio z komputerowego programu księgowego. </w:t>
      </w:r>
      <w:r>
        <w:rPr>
          <w:rFonts w:cs="Times New Roman"/>
        </w:rPr>
        <w:br/>
      </w:r>
      <w:r w:rsidRPr="001A2297">
        <w:rPr>
          <w:rFonts w:cs="Times New Roman"/>
        </w:rPr>
        <w:t xml:space="preserve">W takim przypadku nie ma potrzeby powtarzania na dowodzie źródłowym dekretacji, jeżeli program księgowy użytkowany przez jednostkę pozwala na wydruk dekretu. Warunkiem jest jednak, aby wydrukowany dekret zawierał informacje o sposobie ujęcia każdego dokumentu w księgach rachunkowych oraz inne dane, pozwalające na powiązanie wydruku dekretu z dowodem źródłowym. W przypadku rezygnacji z dekretacji ręcznej i zastąpienia jej komputerową dekretacją automatyczną, niezbędne jest trwałe połączenie wydruku dekretu z dokumentem stanowiącym dowód źródłowy (np. sklejenie lub zszycie).  </w:t>
      </w:r>
    </w:p>
    <w:p w14:paraId="25FB6C5E" w14:textId="77777777" w:rsidR="007924C2" w:rsidRDefault="007924C2" w:rsidP="001A2297">
      <w:pPr>
        <w:jc w:val="both"/>
        <w:rPr>
          <w:rFonts w:cs="Times New Roman"/>
          <w:b/>
          <w:i/>
        </w:rPr>
      </w:pPr>
    </w:p>
    <w:p w14:paraId="3979223F" w14:textId="77777777" w:rsidR="001A2297" w:rsidRPr="001A2297" w:rsidRDefault="001A2297" w:rsidP="001A2297">
      <w:pPr>
        <w:jc w:val="both"/>
        <w:rPr>
          <w:rFonts w:cs="Times New Roman"/>
          <w:b/>
          <w:i/>
        </w:rPr>
      </w:pPr>
      <w:r w:rsidRPr="001A2297">
        <w:rPr>
          <w:rFonts w:cs="Times New Roman"/>
          <w:b/>
          <w:i/>
        </w:rPr>
        <w:t>Wniosek pokontrolny Nr 6</w:t>
      </w:r>
    </w:p>
    <w:p w14:paraId="7723AB64" w14:textId="77777777" w:rsidR="001A2297" w:rsidRPr="001A2297" w:rsidRDefault="001A2297" w:rsidP="001A2297">
      <w:pPr>
        <w:jc w:val="both"/>
        <w:rPr>
          <w:rFonts w:cs="Times New Roman"/>
          <w:i/>
        </w:rPr>
      </w:pPr>
      <w:r w:rsidRPr="001A2297">
        <w:rPr>
          <w:rFonts w:cs="Times New Roman"/>
          <w:i/>
        </w:rPr>
        <w:t xml:space="preserve">W dalszej działalności jednostki zadbać o należyte dekretowanie dokumentów księgowych, ze szczególnym uwzględnieniem art. 14, 20, 21 </w:t>
      </w:r>
      <w:r>
        <w:rPr>
          <w:rFonts w:cs="Times New Roman"/>
          <w:i/>
        </w:rPr>
        <w:t xml:space="preserve">oraz 23 ustawy o rachunkowości </w:t>
      </w:r>
      <w:r w:rsidRPr="001A2297">
        <w:rPr>
          <w:rFonts w:cs="Times New Roman"/>
          <w:i/>
        </w:rPr>
        <w:t>(</w:t>
      </w:r>
      <w:proofErr w:type="spellStart"/>
      <w:r>
        <w:rPr>
          <w:rFonts w:cs="Times New Roman"/>
          <w:i/>
        </w:rPr>
        <w:t>t.j</w:t>
      </w:r>
      <w:proofErr w:type="spellEnd"/>
      <w:r>
        <w:rPr>
          <w:rFonts w:cs="Times New Roman"/>
          <w:i/>
        </w:rPr>
        <w:t>. Dz. U. z 2021 r. poz. 217 z późn.zm.).</w:t>
      </w:r>
    </w:p>
    <w:p w14:paraId="2E7319BC" w14:textId="77777777" w:rsidR="001A2297" w:rsidRDefault="001A2297" w:rsidP="001A2297">
      <w:pPr>
        <w:rPr>
          <w:rFonts w:cs="Times New Roman"/>
          <w:b/>
        </w:rPr>
      </w:pPr>
    </w:p>
    <w:p w14:paraId="10AF0543" w14:textId="77777777" w:rsidR="001A2297" w:rsidRPr="001A2297" w:rsidRDefault="001A2297" w:rsidP="001A2297">
      <w:pPr>
        <w:jc w:val="both"/>
        <w:rPr>
          <w:rFonts w:cs="Times New Roman"/>
        </w:rPr>
      </w:pPr>
      <w:r w:rsidRPr="001A2297">
        <w:rPr>
          <w:rFonts w:cs="Times New Roman"/>
        </w:rPr>
        <w:lastRenderedPageBreak/>
        <w:t xml:space="preserve">W jednostce karty ewidencyjne wyposażenia w odzież i obuwie ochronne/robocze prowadzone są odrębnie dla każdego pracownika na poszczególnych obiektach. Ogólna ewidencja wyposażenia </w:t>
      </w:r>
      <w:r>
        <w:rPr>
          <w:rFonts w:cs="Times New Roman"/>
        </w:rPr>
        <w:br/>
      </w:r>
      <w:r w:rsidRPr="001A2297">
        <w:rPr>
          <w:rFonts w:cs="Times New Roman"/>
        </w:rPr>
        <w:t>w sie</w:t>
      </w:r>
      <w:r>
        <w:rPr>
          <w:rFonts w:cs="Times New Roman"/>
        </w:rPr>
        <w:t>dzibie jednostki przy ul. Żytniej</w:t>
      </w:r>
      <w:r w:rsidRPr="001A2297">
        <w:rPr>
          <w:rFonts w:cs="Times New Roman"/>
        </w:rPr>
        <w:t xml:space="preserve"> 1 prowadzona jest przez specjalistę ds. BHP, z której wynika jedynie ostatnia data zamówienia artykułu dla pracownika, okres użytkowania, ilość sztuk/par, cena netto. Sprawdzono karty losowo wybranych pracowników Biura, H.W.S. Żytnia oraz Krytej Pływalni „Orka”. Stwierdzono, że asortyment wpisany w karty znajdujące się na obiekcie jest niezgodny </w:t>
      </w:r>
      <w:r w:rsidR="007474A0">
        <w:rPr>
          <w:rFonts w:cs="Times New Roman"/>
        </w:rPr>
        <w:br/>
      </w:r>
      <w:r w:rsidRPr="001A2297">
        <w:rPr>
          <w:rFonts w:cs="Times New Roman"/>
        </w:rPr>
        <w:t xml:space="preserve">z tabelą norm przydziału odzieży  i obuwia roboczego dla pracowników MOSiR w Kielcach będącą Załącznikiem nr 1 do Zarządzenia nr 69/2019 r. oraz kartami prowadzonymi przez specjalistę ds. BHP. Stwierdzono także przypadki nie wydania odzieży pomimo upływu terminu używalności. Ponadto </w:t>
      </w:r>
      <w:r w:rsidR="007474A0">
        <w:rPr>
          <w:rFonts w:cs="Times New Roman"/>
        </w:rPr>
        <w:br/>
      </w:r>
      <w:r w:rsidRPr="001A2297">
        <w:rPr>
          <w:rFonts w:cs="Times New Roman"/>
        </w:rPr>
        <w:t xml:space="preserve">w zarządzeniu nr 69/2019 z dn. 18.12.2019 Dyrektora </w:t>
      </w:r>
      <w:proofErr w:type="spellStart"/>
      <w:r w:rsidRPr="001A2297">
        <w:rPr>
          <w:rFonts w:cs="Times New Roman"/>
        </w:rPr>
        <w:t>MOSiRw</w:t>
      </w:r>
      <w:proofErr w:type="spellEnd"/>
      <w:r w:rsidRPr="001A2297">
        <w:rPr>
          <w:rFonts w:cs="Times New Roman"/>
        </w:rPr>
        <w:t xml:space="preserve"> Kielcach w sprawie zaopatrzenia </w:t>
      </w:r>
      <w:r w:rsidR="007474A0">
        <w:rPr>
          <w:rFonts w:cs="Times New Roman"/>
        </w:rPr>
        <w:br/>
      </w:r>
      <w:r w:rsidRPr="001A2297">
        <w:rPr>
          <w:rFonts w:cs="Times New Roman"/>
        </w:rPr>
        <w:t>w środk</w:t>
      </w:r>
      <w:r w:rsidR="00BC5654">
        <w:rPr>
          <w:rFonts w:cs="Times New Roman"/>
        </w:rPr>
        <w:t>i ochrony indywidualnej, odzież</w:t>
      </w:r>
      <w:r w:rsidRPr="001A2297">
        <w:rPr>
          <w:rFonts w:cs="Times New Roman"/>
        </w:rPr>
        <w:t xml:space="preserve"> i obuwie robocze oraz odzież reprezentacyjną pracowników MOSiR nie określono, co dzieje się z odzieżą po terminie użyteczności</w:t>
      </w:r>
      <w:r w:rsidR="007924C2">
        <w:rPr>
          <w:rFonts w:cs="Times New Roman"/>
        </w:rPr>
        <w:t>.</w:t>
      </w:r>
      <w:r w:rsidRPr="001A2297">
        <w:rPr>
          <w:rFonts w:cs="Times New Roman"/>
        </w:rPr>
        <w:t xml:space="preserve"> Pracodawca ma obowiązek po upływie określonego okresu użytkowania odzieży i obuwia roboczego oraz środków ochrony indywidualnej wydać pracownikom nową odzież, obuwie oraz środki. W konsekwencji pracodawca może zadecydować, iż zostanie ona: odpłatnie przekazana pracownikowi za jego zgodą, oddana pracownikowi za jego zgodą na własność nieodpłatnie, bądź zutylizowana przez pracodawcę.</w:t>
      </w:r>
    </w:p>
    <w:p w14:paraId="25698527" w14:textId="77777777" w:rsidR="001A2297" w:rsidRPr="00C2592A" w:rsidRDefault="00C2592A" w:rsidP="001A2297">
      <w:pPr>
        <w:rPr>
          <w:rFonts w:cs="Times New Roman"/>
          <w:b/>
          <w:i/>
        </w:rPr>
      </w:pPr>
      <w:r w:rsidRPr="00C2592A">
        <w:rPr>
          <w:rFonts w:cs="Times New Roman"/>
          <w:b/>
          <w:i/>
        </w:rPr>
        <w:t>W</w:t>
      </w:r>
      <w:r w:rsidR="00276FFC">
        <w:rPr>
          <w:rFonts w:cs="Times New Roman"/>
          <w:b/>
          <w:i/>
        </w:rPr>
        <w:t>niosek pokontrolny Nr 7</w:t>
      </w:r>
    </w:p>
    <w:p w14:paraId="5C25EA47" w14:textId="77777777" w:rsidR="001A2297" w:rsidRPr="00C2592A" w:rsidRDefault="00C2592A" w:rsidP="007474A0">
      <w:pPr>
        <w:jc w:val="both"/>
        <w:rPr>
          <w:rFonts w:cs="Times New Roman"/>
          <w:i/>
        </w:rPr>
      </w:pPr>
      <w:r w:rsidRPr="00C2592A">
        <w:rPr>
          <w:rFonts w:cs="Times New Roman"/>
          <w:i/>
        </w:rPr>
        <w:t xml:space="preserve">W dalszej działalności jednostki </w:t>
      </w:r>
      <w:r w:rsidR="007474A0" w:rsidRPr="00C2592A">
        <w:rPr>
          <w:rFonts w:cs="Times New Roman"/>
          <w:i/>
        </w:rPr>
        <w:t>wydawać</w:t>
      </w:r>
      <w:r w:rsidR="007474A0">
        <w:rPr>
          <w:rFonts w:cs="Times New Roman"/>
          <w:i/>
        </w:rPr>
        <w:t xml:space="preserve"> asortyment</w:t>
      </w:r>
      <w:r w:rsidR="007474A0" w:rsidRPr="00C2592A">
        <w:rPr>
          <w:rFonts w:cs="Times New Roman"/>
          <w:i/>
        </w:rPr>
        <w:t xml:space="preserve"> </w:t>
      </w:r>
      <w:r w:rsidR="007474A0">
        <w:rPr>
          <w:rFonts w:cs="Times New Roman"/>
          <w:i/>
        </w:rPr>
        <w:t>zgodny</w:t>
      </w:r>
      <w:r w:rsidRPr="00C2592A">
        <w:rPr>
          <w:rFonts w:cs="Times New Roman"/>
          <w:i/>
        </w:rPr>
        <w:t xml:space="preserve"> z tabelą norm przydziału odzieży  </w:t>
      </w:r>
      <w:r w:rsidR="007474A0">
        <w:rPr>
          <w:rFonts w:cs="Times New Roman"/>
          <w:i/>
        </w:rPr>
        <w:br/>
      </w:r>
      <w:r w:rsidRPr="00C2592A">
        <w:rPr>
          <w:rFonts w:cs="Times New Roman"/>
          <w:i/>
        </w:rPr>
        <w:t xml:space="preserve">i obuwia </w:t>
      </w:r>
      <w:r w:rsidR="007474A0">
        <w:rPr>
          <w:rFonts w:cs="Times New Roman"/>
          <w:i/>
        </w:rPr>
        <w:t>roboczego dla pracowników MOSiR.</w:t>
      </w:r>
    </w:p>
    <w:p w14:paraId="3599A014" w14:textId="77777777" w:rsidR="00C2592A" w:rsidRDefault="00276FFC" w:rsidP="001A2297">
      <w:pPr>
        <w:rPr>
          <w:rFonts w:cs="Times New Roman"/>
          <w:b/>
          <w:i/>
        </w:rPr>
      </w:pPr>
      <w:r>
        <w:rPr>
          <w:rFonts w:cs="Times New Roman"/>
          <w:b/>
          <w:i/>
        </w:rPr>
        <w:t>Wniosek pokontrolny Nr 8</w:t>
      </w:r>
    </w:p>
    <w:p w14:paraId="619EE386" w14:textId="77777777" w:rsidR="00C2592A" w:rsidRPr="00C2592A" w:rsidRDefault="00C2592A" w:rsidP="001A2297">
      <w:pPr>
        <w:rPr>
          <w:rFonts w:cs="Times New Roman"/>
          <w:i/>
        </w:rPr>
      </w:pPr>
      <w:r w:rsidRPr="00C2592A">
        <w:rPr>
          <w:rFonts w:cs="Times New Roman"/>
          <w:i/>
        </w:rPr>
        <w:t>Niezwłocznie wydać odzież i obuwie robocze pracowniko</w:t>
      </w:r>
      <w:r>
        <w:rPr>
          <w:rFonts w:cs="Times New Roman"/>
          <w:i/>
        </w:rPr>
        <w:t>m</w:t>
      </w:r>
      <w:r w:rsidRPr="00C2592A">
        <w:rPr>
          <w:rFonts w:cs="Times New Roman"/>
          <w:i/>
        </w:rPr>
        <w:t>, któr</w:t>
      </w:r>
      <w:r>
        <w:rPr>
          <w:rFonts w:cs="Times New Roman"/>
          <w:i/>
        </w:rPr>
        <w:t>z</w:t>
      </w:r>
      <w:r w:rsidRPr="00C2592A">
        <w:rPr>
          <w:rFonts w:cs="Times New Roman"/>
          <w:i/>
        </w:rPr>
        <w:t>y jej nie otrzymali.</w:t>
      </w:r>
    </w:p>
    <w:p w14:paraId="278B77BA" w14:textId="77777777" w:rsidR="00C2592A" w:rsidRDefault="00276FFC" w:rsidP="001A2297">
      <w:pPr>
        <w:rPr>
          <w:rFonts w:cs="Times New Roman"/>
          <w:b/>
          <w:i/>
        </w:rPr>
      </w:pPr>
      <w:r>
        <w:rPr>
          <w:rFonts w:cs="Times New Roman"/>
          <w:b/>
          <w:i/>
        </w:rPr>
        <w:t>Wniosek pokontrolny Nr 9</w:t>
      </w:r>
    </w:p>
    <w:p w14:paraId="2C7CF190" w14:textId="77777777" w:rsidR="00C2592A" w:rsidRDefault="00C2592A" w:rsidP="00C2592A">
      <w:pPr>
        <w:jc w:val="both"/>
        <w:rPr>
          <w:rFonts w:cs="Times New Roman"/>
          <w:i/>
        </w:rPr>
      </w:pPr>
      <w:r w:rsidRPr="00C2592A">
        <w:rPr>
          <w:rFonts w:cs="Times New Roman"/>
          <w:i/>
        </w:rPr>
        <w:t>W przepisach wewnętrznych jednostki określić co będzie się działo z odzieżą i obuwiem roboczym po terminie ich użyteczności.</w:t>
      </w:r>
    </w:p>
    <w:p w14:paraId="504BF6BB" w14:textId="77777777" w:rsidR="007474A0" w:rsidRPr="007474A0" w:rsidRDefault="00276FFC" w:rsidP="00C2592A">
      <w:pPr>
        <w:jc w:val="both"/>
        <w:rPr>
          <w:rFonts w:cs="Times New Roman"/>
          <w:b/>
          <w:i/>
        </w:rPr>
      </w:pPr>
      <w:r>
        <w:rPr>
          <w:rFonts w:cs="Times New Roman"/>
          <w:b/>
          <w:i/>
        </w:rPr>
        <w:t>Wniosek pokontrolny Nr 10</w:t>
      </w:r>
    </w:p>
    <w:p w14:paraId="0D454079" w14:textId="77777777" w:rsidR="00C2592A" w:rsidRDefault="007474A0" w:rsidP="00C2592A">
      <w:pPr>
        <w:jc w:val="both"/>
        <w:rPr>
          <w:rFonts w:cs="Times New Roman"/>
          <w:i/>
        </w:rPr>
      </w:pPr>
      <w:r>
        <w:rPr>
          <w:rFonts w:cs="Times New Roman"/>
          <w:i/>
        </w:rPr>
        <w:t>Kart</w:t>
      </w:r>
      <w:r w:rsidR="007924C2">
        <w:rPr>
          <w:rFonts w:cs="Times New Roman"/>
          <w:i/>
        </w:rPr>
        <w:t>y</w:t>
      </w:r>
      <w:r>
        <w:rPr>
          <w:rFonts w:cs="Times New Roman"/>
          <w:i/>
        </w:rPr>
        <w:t xml:space="preserve"> ewidencyjne na obiektach prowadzić w sposób poprawny.</w:t>
      </w:r>
    </w:p>
    <w:p w14:paraId="34C721F2" w14:textId="77777777" w:rsidR="007474A0" w:rsidRDefault="007474A0" w:rsidP="00C2592A">
      <w:pPr>
        <w:jc w:val="both"/>
        <w:rPr>
          <w:rFonts w:cs="Times New Roman"/>
          <w:i/>
        </w:rPr>
      </w:pPr>
    </w:p>
    <w:p w14:paraId="566E1F66" w14:textId="77777777" w:rsidR="00C2592A" w:rsidRDefault="00C2592A" w:rsidP="00C2592A">
      <w:pPr>
        <w:jc w:val="both"/>
        <w:rPr>
          <w:rFonts w:cs="Times New Roman"/>
        </w:rPr>
      </w:pPr>
      <w:r w:rsidRPr="00C2592A">
        <w:rPr>
          <w:rFonts w:cs="Times New Roman"/>
        </w:rPr>
        <w:t xml:space="preserve">Zgodnie z zarządzeniem nr 68/2019 z dnia 18 grudnia 2019 r. </w:t>
      </w:r>
      <w:proofErr w:type="spellStart"/>
      <w:r w:rsidRPr="00C2592A">
        <w:rPr>
          <w:rFonts w:cs="Times New Roman"/>
        </w:rPr>
        <w:t>ws</w:t>
      </w:r>
      <w:proofErr w:type="spellEnd"/>
      <w:r w:rsidRPr="00C2592A">
        <w:rPr>
          <w:rFonts w:cs="Times New Roman"/>
        </w:rPr>
        <w:t>. wypłaty ekwiwalentu za pranie odzieży roboczej i reprezentacyjne</w:t>
      </w:r>
      <w:r>
        <w:rPr>
          <w:rFonts w:cs="Times New Roman"/>
        </w:rPr>
        <w:t xml:space="preserve">j dla pracowników MOSiR </w:t>
      </w:r>
      <w:r w:rsidRPr="00C2592A">
        <w:rPr>
          <w:rFonts w:cs="Times New Roman"/>
        </w:rPr>
        <w:t xml:space="preserve">w Kielcach wypacany jest on 2 razy </w:t>
      </w:r>
      <w:r w:rsidR="007474A0">
        <w:rPr>
          <w:rFonts w:cs="Times New Roman"/>
        </w:rPr>
        <w:br/>
      </w:r>
      <w:r w:rsidRPr="00C2592A">
        <w:rPr>
          <w:rFonts w:cs="Times New Roman"/>
        </w:rPr>
        <w:t xml:space="preserve">w roku za okres od stycznia do czerwca w terminie do 10 lipca, a za okres od lipca do grudnia </w:t>
      </w:r>
      <w:r w:rsidR="007474A0">
        <w:rPr>
          <w:rFonts w:cs="Times New Roman"/>
        </w:rPr>
        <w:br/>
      </w:r>
      <w:r w:rsidRPr="00C2592A">
        <w:rPr>
          <w:rFonts w:cs="Times New Roman"/>
        </w:rPr>
        <w:t xml:space="preserve">w terminie do </w:t>
      </w:r>
      <w:r>
        <w:rPr>
          <w:rFonts w:cs="Times New Roman"/>
        </w:rPr>
        <w:t xml:space="preserve">15 stycznia. Natomiast zgodnie </w:t>
      </w:r>
      <w:r w:rsidRPr="00C2592A">
        <w:rPr>
          <w:rFonts w:cs="Times New Roman"/>
        </w:rPr>
        <w:t xml:space="preserve">z zarządzeniem nr 35/2021 z dnia 23 lipca 2021 r. ekwiwalent wypłacany jest za okres od stycznia do czerwca w terminie do 15 lipca, a za okres od lipca do grudnia w terminie do 15 stycznia. Stwierdzono, że wypłata ekwiwalentu nastąpiła po wskazanych ww. zarządzeniach terminach tj. za pierwszy okres wypłata w dniu 15 lipca 2021 r. (lp.087/2021/JB), </w:t>
      </w:r>
      <w:r w:rsidR="007474A0">
        <w:rPr>
          <w:rFonts w:cs="Times New Roman"/>
        </w:rPr>
        <w:br/>
      </w:r>
      <w:r w:rsidRPr="00C2592A">
        <w:rPr>
          <w:rFonts w:cs="Times New Roman"/>
        </w:rPr>
        <w:t>a za drugi okres wypł</w:t>
      </w:r>
      <w:r>
        <w:rPr>
          <w:rFonts w:cs="Times New Roman"/>
        </w:rPr>
        <w:t xml:space="preserve">ata w dniu 28 stycznia 2022 r. </w:t>
      </w:r>
    </w:p>
    <w:p w14:paraId="59B767C4" w14:textId="77777777" w:rsidR="00C2592A" w:rsidRPr="00C2592A" w:rsidRDefault="00276FFC" w:rsidP="00C2592A">
      <w:pPr>
        <w:jc w:val="both"/>
        <w:rPr>
          <w:rFonts w:cs="Times New Roman"/>
          <w:b/>
          <w:i/>
        </w:rPr>
      </w:pPr>
      <w:r>
        <w:rPr>
          <w:rFonts w:cs="Times New Roman"/>
          <w:b/>
          <w:i/>
        </w:rPr>
        <w:t>Wniosek pokontrolny Nr 11</w:t>
      </w:r>
    </w:p>
    <w:p w14:paraId="6C14B0A1" w14:textId="77777777" w:rsidR="004B31DE" w:rsidRDefault="004B31DE" w:rsidP="004B31DE">
      <w:pPr>
        <w:jc w:val="both"/>
        <w:rPr>
          <w:rFonts w:cs="Times New Roman"/>
          <w:i/>
        </w:rPr>
      </w:pPr>
      <w:r w:rsidRPr="004B31DE">
        <w:rPr>
          <w:rFonts w:cs="Times New Roman"/>
          <w:i/>
        </w:rPr>
        <w:t xml:space="preserve">Przestrzegać ustalonych terminów wypłat ekwiwalentu za pranie odzieży </w:t>
      </w:r>
      <w:r w:rsidRPr="00C2592A">
        <w:rPr>
          <w:rFonts w:cs="Times New Roman"/>
          <w:i/>
        </w:rPr>
        <w:t xml:space="preserve">roboczej i reprezentacyjnej </w:t>
      </w:r>
      <w:r w:rsidRPr="004B31DE">
        <w:rPr>
          <w:rFonts w:cs="Times New Roman"/>
          <w:i/>
        </w:rPr>
        <w:t>określonych w Zarządzeniu Dyrektora MOSiR w Kielcach.</w:t>
      </w:r>
    </w:p>
    <w:p w14:paraId="70C8F5F0" w14:textId="77777777" w:rsidR="00C2592A" w:rsidRDefault="00C2592A" w:rsidP="00C2592A">
      <w:pPr>
        <w:jc w:val="both"/>
        <w:rPr>
          <w:rFonts w:cs="Times New Roman"/>
          <w:i/>
        </w:rPr>
      </w:pPr>
    </w:p>
    <w:p w14:paraId="688FF64A" w14:textId="77777777" w:rsidR="00C2592A" w:rsidRDefault="00C2592A" w:rsidP="00C2592A">
      <w:pPr>
        <w:jc w:val="both"/>
      </w:pPr>
      <w:r>
        <w:t xml:space="preserve">W  kontrolowanym okresie pracownicy jednostki korzystali ze służbowych telefonów komórkowych na podstawie Zarządzenia Nr 71/2016 z dnia 05.12.2016 r. Dyrektora Miejskiego Ośrodka Sportu </w:t>
      </w:r>
      <w:r w:rsidR="007474A0">
        <w:br/>
      </w:r>
      <w:r>
        <w:t xml:space="preserve">i Rekreacji w Kielcach w sprawie ustalenia Regulaminu korzystania ze służbowych telefonów komórkowych przez pracowników Miejskiego Ośrodka Sportu i Rekreacji w Kielcach. Zgodnie z ww. Regulaminem każdy z ubiegających się pracowników składa wniosek  o przyznanie telefonu służbowego do Dyrektora jednostki oraz oświadczenie, że przyjmuje telefon komórkowy </w:t>
      </w:r>
      <w:r w:rsidR="007474A0">
        <w:br/>
      </w:r>
      <w:r>
        <w:t xml:space="preserve">z miesięcznym limitem kosztów (łącznie z abonamentem i podatkiem VAT). Od dnia 05.12.2016 r. limit wydatków na telefony komórkowe obejmuje także dodatkową kwotę w wysokości 10 zł brutto doliczaną co miesiąc do abonamentu celem zabezpieczenia wydatków na służbowe połączenia telefoniczne, których nie obejmuje abonament. Analiza faktur za usługi telefonii komórkowej wykazała, że limity wydatków były przekraczane, pracownicy wykonywali połączenia </w:t>
      </w:r>
      <w:proofErr w:type="spellStart"/>
      <w:r>
        <w:t>roamingowe</w:t>
      </w:r>
      <w:proofErr w:type="spellEnd"/>
      <w:r>
        <w:t xml:space="preserve"> oraz dokonywali zakupu płatnych usług dodatkowych. W trakcie kontroli ustalono, że oświadczenia stanowiące załącznik nr 2 do ww. Regulaminu nie są aktualizowane po zmianie warunków umowy </w:t>
      </w:r>
      <w:r w:rsidR="00BC5654">
        <w:br/>
      </w:r>
      <w:r>
        <w:lastRenderedPageBreak/>
        <w:t xml:space="preserve">w zakresie wysokości abonamentu i posiadanego sprzętu. Ponadto Kierownik Działu Ekonomiczno-Administracyjnego rozliczając telefony komórkowe nie powinien uwzględniać w kwocie 10 zł usług takich jak wiadomości i połączeń w </w:t>
      </w:r>
      <w:proofErr w:type="spellStart"/>
      <w:r>
        <w:t>roamingu</w:t>
      </w:r>
      <w:proofErr w:type="spellEnd"/>
      <w:r>
        <w:t xml:space="preserve"> oraz zakupu usług dodatkowych takich jak </w:t>
      </w:r>
      <w:proofErr w:type="spellStart"/>
      <w:r>
        <w:t>internet</w:t>
      </w:r>
      <w:proofErr w:type="spellEnd"/>
      <w:r>
        <w:t xml:space="preserve">, </w:t>
      </w:r>
      <w:proofErr w:type="spellStart"/>
      <w:r>
        <w:t>Vod</w:t>
      </w:r>
      <w:proofErr w:type="spellEnd"/>
      <w:r>
        <w:t>, itp. Ustalono, że w miesiącu czerwcu Dyrektor jednostki pomimo, ze przekroczył limit wydatków nie został do dnia dzisiejszego za nie obciążany, a jeden z pracowników został obciążony kwotą, która nie ma odzwierciedlenia ani w przygotowanym przez kierownika zestawieniu ani fakturze.</w:t>
      </w:r>
    </w:p>
    <w:p w14:paraId="75E869B1" w14:textId="77777777" w:rsidR="00C2592A" w:rsidRPr="00472700" w:rsidRDefault="00472700" w:rsidP="00C2592A">
      <w:pPr>
        <w:jc w:val="both"/>
        <w:rPr>
          <w:rFonts w:cs="Times New Roman"/>
          <w:b/>
          <w:i/>
        </w:rPr>
      </w:pPr>
      <w:r w:rsidRPr="00472700">
        <w:rPr>
          <w:rFonts w:cs="Times New Roman"/>
          <w:b/>
          <w:i/>
        </w:rPr>
        <w:t>Wni</w:t>
      </w:r>
      <w:r w:rsidR="00276FFC">
        <w:rPr>
          <w:rFonts w:cs="Times New Roman"/>
          <w:b/>
          <w:i/>
        </w:rPr>
        <w:t>osek pokontrolny Nr 12</w:t>
      </w:r>
    </w:p>
    <w:p w14:paraId="702BB252" w14:textId="77777777" w:rsidR="00C2592A" w:rsidRDefault="00472700" w:rsidP="00C2592A">
      <w:pPr>
        <w:jc w:val="both"/>
        <w:rPr>
          <w:rFonts w:cs="Times New Roman"/>
          <w:i/>
        </w:rPr>
      </w:pPr>
      <w:r w:rsidRPr="00472700">
        <w:rPr>
          <w:rFonts w:cs="Times New Roman"/>
          <w:i/>
        </w:rPr>
        <w:t>Przestrzegać zasad korzystania ze służbowych telefonów komórkowych oraz miesięcznych limitów kosztów wskazanych w Regulaminie korzystania ze służbowych telefonów komórkowych przez pracowników Miejskiego Ośrodka Sportu i Rekreacji w Kielcach.</w:t>
      </w:r>
    </w:p>
    <w:p w14:paraId="5764D9EA" w14:textId="77777777" w:rsidR="00C2592A" w:rsidRPr="00C2592A" w:rsidRDefault="00C2592A" w:rsidP="00C2592A">
      <w:pPr>
        <w:jc w:val="both"/>
        <w:rPr>
          <w:rFonts w:cs="Times New Roman"/>
          <w:i/>
        </w:rPr>
      </w:pPr>
    </w:p>
    <w:p w14:paraId="5308D606" w14:textId="77777777" w:rsidR="001F16BE" w:rsidRPr="00EB3426" w:rsidRDefault="001F16BE" w:rsidP="001F16BE">
      <w:pPr>
        <w:jc w:val="both"/>
        <w:rPr>
          <w:rFonts w:cs="Times New Roman"/>
        </w:rPr>
      </w:pPr>
    </w:p>
    <w:sectPr w:rsidR="001F16BE" w:rsidRPr="00EB3426" w:rsidSect="008B7177">
      <w:headerReference w:type="default" r:id="rId8"/>
      <w:footerReference w:type="default" r:id="rId9"/>
      <w:pgSz w:w="11906" w:h="16838"/>
      <w:pgMar w:top="1417" w:right="1417" w:bottom="1417" w:left="1417"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9AD5" w14:textId="77777777" w:rsidR="000F6504" w:rsidRDefault="000F6504" w:rsidP="00E41F2E">
      <w:r>
        <w:separator/>
      </w:r>
    </w:p>
  </w:endnote>
  <w:endnote w:type="continuationSeparator" w:id="0">
    <w:p w14:paraId="7CF137A0" w14:textId="77777777" w:rsidR="000F6504" w:rsidRDefault="000F6504" w:rsidP="00E4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00887"/>
      <w:docPartObj>
        <w:docPartGallery w:val="Page Numbers (Bottom of Page)"/>
        <w:docPartUnique/>
      </w:docPartObj>
    </w:sdtPr>
    <w:sdtContent>
      <w:p w14:paraId="6673BDDC" w14:textId="77777777" w:rsidR="00E41F2E" w:rsidRDefault="00E41F2E">
        <w:pPr>
          <w:pStyle w:val="Stopka"/>
          <w:jc w:val="right"/>
        </w:pPr>
        <w:r>
          <w:fldChar w:fldCharType="begin"/>
        </w:r>
        <w:r>
          <w:instrText>PAGE   \* MERGEFORMAT</w:instrText>
        </w:r>
        <w:r>
          <w:fldChar w:fldCharType="separate"/>
        </w:r>
        <w:r w:rsidR="00C67E1C">
          <w:rPr>
            <w:noProof/>
          </w:rPr>
          <w:t>4</w:t>
        </w:r>
        <w:r>
          <w:fldChar w:fldCharType="end"/>
        </w:r>
      </w:p>
    </w:sdtContent>
  </w:sdt>
  <w:p w14:paraId="014783AE" w14:textId="77777777" w:rsidR="00E41F2E" w:rsidRDefault="00E41F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FC1B" w14:textId="77777777" w:rsidR="000F6504" w:rsidRDefault="000F6504" w:rsidP="00E41F2E">
      <w:r>
        <w:separator/>
      </w:r>
    </w:p>
  </w:footnote>
  <w:footnote w:type="continuationSeparator" w:id="0">
    <w:p w14:paraId="5CA2D7C0" w14:textId="77777777" w:rsidR="000F6504" w:rsidRDefault="000F6504" w:rsidP="00E4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465A" w14:textId="77777777" w:rsidR="00961193" w:rsidRDefault="00961193">
    <w:pPr>
      <w:pStyle w:val="Nagwek"/>
    </w:pPr>
  </w:p>
  <w:p w14:paraId="148BDFA9" w14:textId="77777777" w:rsidR="00961193" w:rsidRDefault="009611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3FDE"/>
    <w:multiLevelType w:val="hybridMultilevel"/>
    <w:tmpl w:val="D880341C"/>
    <w:lvl w:ilvl="0" w:tplc="F70291C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1135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1D"/>
    <w:rsid w:val="00016CBD"/>
    <w:rsid w:val="00020274"/>
    <w:rsid w:val="000B66F1"/>
    <w:rsid w:val="000F6504"/>
    <w:rsid w:val="001A2297"/>
    <w:rsid w:val="001C2422"/>
    <w:rsid w:val="001D579C"/>
    <w:rsid w:val="001F16BE"/>
    <w:rsid w:val="002166DB"/>
    <w:rsid w:val="002241E5"/>
    <w:rsid w:val="00276FFC"/>
    <w:rsid w:val="002B5865"/>
    <w:rsid w:val="003244D7"/>
    <w:rsid w:val="0034270E"/>
    <w:rsid w:val="00390583"/>
    <w:rsid w:val="003A526A"/>
    <w:rsid w:val="00461724"/>
    <w:rsid w:val="00472700"/>
    <w:rsid w:val="00491CD1"/>
    <w:rsid w:val="004B2EB0"/>
    <w:rsid w:val="004B31DE"/>
    <w:rsid w:val="00520BEA"/>
    <w:rsid w:val="00533065"/>
    <w:rsid w:val="00571B21"/>
    <w:rsid w:val="00592DEC"/>
    <w:rsid w:val="005D30BF"/>
    <w:rsid w:val="006337EC"/>
    <w:rsid w:val="00685720"/>
    <w:rsid w:val="006B2641"/>
    <w:rsid w:val="007474A0"/>
    <w:rsid w:val="007478C2"/>
    <w:rsid w:val="007849BC"/>
    <w:rsid w:val="00792055"/>
    <w:rsid w:val="007924C2"/>
    <w:rsid w:val="00830131"/>
    <w:rsid w:val="008749AA"/>
    <w:rsid w:val="008B7177"/>
    <w:rsid w:val="008C6EA1"/>
    <w:rsid w:val="008E496E"/>
    <w:rsid w:val="00917529"/>
    <w:rsid w:val="00946F41"/>
    <w:rsid w:val="00961193"/>
    <w:rsid w:val="00984C3E"/>
    <w:rsid w:val="009F38F7"/>
    <w:rsid w:val="00A564E1"/>
    <w:rsid w:val="00B168C6"/>
    <w:rsid w:val="00B66AD0"/>
    <w:rsid w:val="00BC5654"/>
    <w:rsid w:val="00C01714"/>
    <w:rsid w:val="00C05456"/>
    <w:rsid w:val="00C2592A"/>
    <w:rsid w:val="00C34E1D"/>
    <w:rsid w:val="00C67E1C"/>
    <w:rsid w:val="00D8137A"/>
    <w:rsid w:val="00D93771"/>
    <w:rsid w:val="00DE4DC4"/>
    <w:rsid w:val="00E41F2E"/>
    <w:rsid w:val="00E47C4F"/>
    <w:rsid w:val="00E5600C"/>
    <w:rsid w:val="00EB3426"/>
    <w:rsid w:val="00F12081"/>
    <w:rsid w:val="00F51931"/>
    <w:rsid w:val="00F8231C"/>
    <w:rsid w:val="00FB7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155FF"/>
  <w15:docId w15:val="{D9B78CD8-2122-42E6-916E-56F069FE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26A"/>
    <w:pPr>
      <w:jc w:val="left"/>
    </w:pPr>
  </w:style>
  <w:style w:type="paragraph" w:styleId="Nagwek1">
    <w:name w:val="heading 1"/>
    <w:basedOn w:val="Normalny"/>
    <w:next w:val="Normalny"/>
    <w:link w:val="Nagwek1Znak"/>
    <w:uiPriority w:val="9"/>
    <w:qFormat/>
    <w:rsid w:val="003A5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2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2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526A"/>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3A5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A526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A5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A526A"/>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3A526A"/>
    <w:rPr>
      <w:i/>
      <w:iCs/>
    </w:rPr>
  </w:style>
  <w:style w:type="paragraph" w:styleId="Bezodstpw">
    <w:name w:val="No Spacing"/>
    <w:uiPriority w:val="1"/>
    <w:qFormat/>
    <w:rsid w:val="003A526A"/>
    <w:pPr>
      <w:jc w:val="left"/>
    </w:pPr>
  </w:style>
  <w:style w:type="character" w:styleId="Wyrnieniedelikatne">
    <w:name w:val="Subtle Emphasis"/>
    <w:basedOn w:val="Domylnaczcionkaakapitu"/>
    <w:uiPriority w:val="19"/>
    <w:qFormat/>
    <w:rsid w:val="003A526A"/>
    <w:rPr>
      <w:i/>
      <w:iCs/>
      <w:color w:val="808080" w:themeColor="text1" w:themeTint="7F"/>
    </w:rPr>
  </w:style>
  <w:style w:type="paragraph" w:styleId="Akapitzlist">
    <w:name w:val="List Paragraph"/>
    <w:basedOn w:val="Normalny"/>
    <w:uiPriority w:val="34"/>
    <w:qFormat/>
    <w:rsid w:val="00491CD1"/>
    <w:pPr>
      <w:ind w:left="720"/>
      <w:contextualSpacing/>
    </w:pPr>
  </w:style>
  <w:style w:type="paragraph" w:styleId="Nagwek">
    <w:name w:val="header"/>
    <w:basedOn w:val="Normalny"/>
    <w:link w:val="NagwekZnak"/>
    <w:uiPriority w:val="99"/>
    <w:unhideWhenUsed/>
    <w:rsid w:val="00E41F2E"/>
    <w:pPr>
      <w:tabs>
        <w:tab w:val="center" w:pos="4536"/>
        <w:tab w:val="right" w:pos="9072"/>
      </w:tabs>
    </w:pPr>
  </w:style>
  <w:style w:type="character" w:customStyle="1" w:styleId="NagwekZnak">
    <w:name w:val="Nagłówek Znak"/>
    <w:basedOn w:val="Domylnaczcionkaakapitu"/>
    <w:link w:val="Nagwek"/>
    <w:uiPriority w:val="99"/>
    <w:rsid w:val="00E41F2E"/>
  </w:style>
  <w:style w:type="paragraph" w:styleId="Stopka">
    <w:name w:val="footer"/>
    <w:basedOn w:val="Normalny"/>
    <w:link w:val="StopkaZnak"/>
    <w:uiPriority w:val="99"/>
    <w:unhideWhenUsed/>
    <w:rsid w:val="00E41F2E"/>
    <w:pPr>
      <w:tabs>
        <w:tab w:val="center" w:pos="4536"/>
        <w:tab w:val="right" w:pos="9072"/>
      </w:tabs>
    </w:pPr>
  </w:style>
  <w:style w:type="character" w:customStyle="1" w:styleId="StopkaZnak">
    <w:name w:val="Stopka Znak"/>
    <w:basedOn w:val="Domylnaczcionkaakapitu"/>
    <w:link w:val="Stopka"/>
    <w:uiPriority w:val="99"/>
    <w:rsid w:val="00E41F2E"/>
  </w:style>
  <w:style w:type="paragraph" w:styleId="Tekstdymka">
    <w:name w:val="Balloon Text"/>
    <w:basedOn w:val="Normalny"/>
    <w:link w:val="TekstdymkaZnak"/>
    <w:uiPriority w:val="99"/>
    <w:semiHidden/>
    <w:unhideWhenUsed/>
    <w:rsid w:val="00961193"/>
    <w:rPr>
      <w:rFonts w:ascii="Tahoma" w:hAnsi="Tahoma" w:cs="Tahoma"/>
      <w:sz w:val="16"/>
      <w:szCs w:val="16"/>
    </w:rPr>
  </w:style>
  <w:style w:type="character" w:customStyle="1" w:styleId="TekstdymkaZnak">
    <w:name w:val="Tekst dymka Znak"/>
    <w:basedOn w:val="Domylnaczcionkaakapitu"/>
    <w:link w:val="Tekstdymka"/>
    <w:uiPriority w:val="99"/>
    <w:semiHidden/>
    <w:rsid w:val="00961193"/>
    <w:rPr>
      <w:rFonts w:ascii="Tahoma" w:hAnsi="Tahoma" w:cs="Tahoma"/>
      <w:sz w:val="16"/>
      <w:szCs w:val="16"/>
    </w:rPr>
  </w:style>
  <w:style w:type="character" w:styleId="Odwoaniedokomentarza">
    <w:name w:val="annotation reference"/>
    <w:basedOn w:val="Domylnaczcionkaakapitu"/>
    <w:uiPriority w:val="99"/>
    <w:semiHidden/>
    <w:unhideWhenUsed/>
    <w:rsid w:val="00461724"/>
    <w:rPr>
      <w:sz w:val="16"/>
      <w:szCs w:val="16"/>
    </w:rPr>
  </w:style>
  <w:style w:type="paragraph" w:styleId="Tekstkomentarza">
    <w:name w:val="annotation text"/>
    <w:basedOn w:val="Normalny"/>
    <w:link w:val="TekstkomentarzaZnak"/>
    <w:uiPriority w:val="99"/>
    <w:semiHidden/>
    <w:unhideWhenUsed/>
    <w:rsid w:val="00461724"/>
    <w:rPr>
      <w:sz w:val="20"/>
      <w:szCs w:val="20"/>
    </w:rPr>
  </w:style>
  <w:style w:type="character" w:customStyle="1" w:styleId="TekstkomentarzaZnak">
    <w:name w:val="Tekst komentarza Znak"/>
    <w:basedOn w:val="Domylnaczcionkaakapitu"/>
    <w:link w:val="Tekstkomentarza"/>
    <w:uiPriority w:val="99"/>
    <w:semiHidden/>
    <w:rsid w:val="00461724"/>
    <w:rPr>
      <w:sz w:val="20"/>
      <w:szCs w:val="20"/>
    </w:rPr>
  </w:style>
  <w:style w:type="paragraph" w:styleId="Tematkomentarza">
    <w:name w:val="annotation subject"/>
    <w:basedOn w:val="Tekstkomentarza"/>
    <w:next w:val="Tekstkomentarza"/>
    <w:link w:val="TematkomentarzaZnak"/>
    <w:uiPriority w:val="99"/>
    <w:semiHidden/>
    <w:unhideWhenUsed/>
    <w:rsid w:val="00461724"/>
    <w:rPr>
      <w:b/>
      <w:bCs/>
    </w:rPr>
  </w:style>
  <w:style w:type="character" w:customStyle="1" w:styleId="TematkomentarzaZnak">
    <w:name w:val="Temat komentarza Znak"/>
    <w:basedOn w:val="TekstkomentarzaZnak"/>
    <w:link w:val="Tematkomentarza"/>
    <w:uiPriority w:val="99"/>
    <w:semiHidden/>
    <w:rsid w:val="00461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8AAB-C140-4E30-AB77-39124148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10296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Jamróz</dc:creator>
  <cp:lastModifiedBy>amachnik</cp:lastModifiedBy>
  <cp:revision>2</cp:revision>
  <cp:lastPrinted>2022-10-05T06:46:00Z</cp:lastPrinted>
  <dcterms:created xsi:type="dcterms:W3CDTF">2022-10-05T07:07:00Z</dcterms:created>
  <dcterms:modified xsi:type="dcterms:W3CDTF">2022-10-05T07:07:00Z</dcterms:modified>
</cp:coreProperties>
</file>